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226" w:lineRule="auto"/>
        <w:jc w:val="center"/>
        <w:rPr>
          <w:rFonts w:ascii="黑体" w:hAnsi="黑体" w:eastAsia="黑体" w:cs="黑体"/>
          <w:sz w:val="52"/>
          <w:szCs w:val="52"/>
        </w:rPr>
      </w:pPr>
      <w:r>
        <w:rPr>
          <w:rFonts w:hint="eastAsia" w:ascii="黑体" w:hAnsi="黑体" w:eastAsia="黑体" w:cs="黑体"/>
          <w:spacing w:val="43"/>
          <w:sz w:val="52"/>
          <w:szCs w:val="52"/>
          <w:lang w:val="en-US" w:eastAsia="zh-CN"/>
          <w14:textOutline w14:w="8717" w14:cap="sq" w14:cmpd="sng">
            <w14:solidFill>
              <w14:srgbClr w14:val="000000"/>
            </w14:solidFill>
            <w14:prstDash w14:val="solid"/>
            <w14:bevel/>
          </w14:textOutline>
        </w:rPr>
        <w:t>设 备</w:t>
      </w:r>
      <w:r>
        <w:rPr>
          <w:rFonts w:ascii="黑体" w:hAnsi="黑体" w:eastAsia="黑体" w:cs="黑体"/>
          <w:spacing w:val="43"/>
          <w:sz w:val="52"/>
          <w:szCs w:val="52"/>
        </w:rPr>
        <w:t xml:space="preserve"> </w:t>
      </w:r>
      <w:r>
        <w:rPr>
          <w:rFonts w:ascii="黑体" w:hAnsi="黑体" w:eastAsia="黑体" w:cs="黑体"/>
          <w:spacing w:val="43"/>
          <w:sz w:val="52"/>
          <w:szCs w:val="52"/>
          <w14:textOutline w14:w="8717" w14:cap="sq" w14:cmpd="sng">
            <w14:solidFill>
              <w14:srgbClr w14:val="000000"/>
            </w14:solidFill>
            <w14:prstDash w14:val="solid"/>
            <w14:bevel/>
          </w14:textOutline>
        </w:rPr>
        <w:t>采</w:t>
      </w:r>
      <w:r>
        <w:rPr>
          <w:rFonts w:ascii="黑体" w:hAnsi="黑体" w:eastAsia="黑体" w:cs="黑体"/>
          <w:spacing w:val="43"/>
          <w:sz w:val="52"/>
          <w:szCs w:val="52"/>
        </w:rPr>
        <w:t xml:space="preserve"> </w:t>
      </w:r>
      <w:r>
        <w:rPr>
          <w:rFonts w:ascii="黑体" w:hAnsi="黑体" w:eastAsia="黑体" w:cs="黑体"/>
          <w:spacing w:val="40"/>
          <w:sz w:val="52"/>
          <w:szCs w:val="52"/>
          <w14:textOutline w14:w="8717" w14:cap="sq" w14:cmpd="sng">
            <w14:solidFill>
              <w14:srgbClr w14:val="000000"/>
            </w14:solidFill>
            <w14:prstDash w14:val="solid"/>
            <w14:bevel/>
          </w14:textOutline>
        </w:rPr>
        <w:t>购</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30" w:line="222" w:lineRule="auto"/>
        <w:ind w:left="0" w:leftChars="0" w:firstLine="0" w:firstLineChars="0"/>
        <w:jc w:val="center"/>
        <w:outlineLvl w:val="9"/>
        <w:rPr>
          <w:rFonts w:ascii="黑体" w:hAnsi="黑体" w:eastAsia="黑体" w:cs="黑体"/>
          <w:sz w:val="48"/>
          <w:szCs w:val="48"/>
        </w:rPr>
      </w:pPr>
      <w:r>
        <w:rPr>
          <w:rFonts w:ascii="黑体" w:hAnsi="黑体" w:eastAsia="黑体" w:cs="黑体"/>
          <w:spacing w:val="36"/>
          <w:sz w:val="48"/>
          <w:szCs w:val="48"/>
          <w14:textOutline w14:w="7282" w14:cap="sq" w14:cmpd="sng">
            <w14:solidFill>
              <w14:srgbClr w14:val="000000"/>
            </w14:solidFill>
            <w14:prstDash w14:val="solid"/>
            <w14:bevel/>
          </w14:textOutline>
        </w:rPr>
        <w:t>竞</w:t>
      </w:r>
      <w:r>
        <w:rPr>
          <w:rFonts w:ascii="黑体" w:hAnsi="黑体" w:eastAsia="黑体" w:cs="黑体"/>
          <w:spacing w:val="33"/>
          <w:sz w:val="48"/>
          <w:szCs w:val="48"/>
          <w14:textOutline w14:w="7282" w14:cap="sq" w14:cmpd="sng">
            <w14:solidFill>
              <w14:srgbClr w14:val="000000"/>
            </w14:solidFill>
            <w14:prstDash w14:val="solid"/>
            <w14:bevel/>
          </w14:textOutline>
        </w:rPr>
        <w:t>争性磋商文件</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480" w:lineRule="auto"/>
        <w:ind w:left="771"/>
        <w:rPr>
          <w:rFonts w:ascii="宋体" w:hAnsi="宋体" w:eastAsia="宋体" w:cs="宋体"/>
          <w:spacing w:val="8"/>
          <w:sz w:val="30"/>
          <w:szCs w:val="30"/>
        </w:rPr>
      </w:pPr>
    </w:p>
    <w:p>
      <w:pPr>
        <w:spacing w:before="74" w:line="360" w:lineRule="auto"/>
        <w:jc w:val="left"/>
        <w:rPr>
          <w:rFonts w:hint="eastAsia" w:ascii="Arial" w:eastAsia="宋体"/>
          <w:sz w:val="30"/>
          <w:szCs w:val="30"/>
          <w:lang w:eastAsia="zh-CN"/>
        </w:rPr>
      </w:pPr>
      <w:r>
        <w:rPr>
          <w:rFonts w:ascii="宋体" w:hAnsi="宋体" w:eastAsia="宋体" w:cs="宋体"/>
          <w:spacing w:val="8"/>
          <w:sz w:val="30"/>
          <w:szCs w:val="30"/>
        </w:rPr>
        <w:t>磋</w:t>
      </w:r>
      <w:r>
        <w:rPr>
          <w:rFonts w:ascii="宋体" w:hAnsi="宋体" w:eastAsia="宋体" w:cs="宋体"/>
          <w:spacing w:val="7"/>
          <w:sz w:val="30"/>
          <w:szCs w:val="30"/>
        </w:rPr>
        <w:t>商</w:t>
      </w:r>
      <w:r>
        <w:rPr>
          <w:rFonts w:ascii="宋体" w:hAnsi="宋体" w:eastAsia="宋体" w:cs="宋体"/>
          <w:spacing w:val="4"/>
          <w:sz w:val="30"/>
          <w:szCs w:val="30"/>
        </w:rPr>
        <w:t>编号：</w:t>
      </w:r>
      <w:r>
        <w:rPr>
          <w:rFonts w:ascii="宋体" w:hAnsi="宋体" w:eastAsia="宋体" w:cs="宋体"/>
          <w:spacing w:val="4"/>
          <w:sz w:val="30"/>
          <w:szCs w:val="30"/>
          <w:u w:val="single"/>
        </w:rPr>
        <w:t>2023</w:t>
      </w:r>
      <w:r>
        <w:rPr>
          <w:rFonts w:hint="eastAsia" w:ascii="宋体" w:hAnsi="宋体" w:eastAsia="宋体" w:cs="宋体"/>
          <w:sz w:val="30"/>
          <w:szCs w:val="30"/>
          <w:u w:val="single"/>
          <w:lang w:val="en-US" w:eastAsia="zh-CN"/>
        </w:rPr>
        <w:t>CCINCG</w:t>
      </w:r>
      <w:r>
        <w:rPr>
          <w:rFonts w:ascii="宋体" w:hAnsi="宋体" w:eastAsia="宋体" w:cs="宋体"/>
          <w:spacing w:val="4"/>
          <w:sz w:val="30"/>
          <w:szCs w:val="30"/>
          <w:u w:val="single"/>
        </w:rPr>
        <w:t>00</w:t>
      </w:r>
      <w:r>
        <w:rPr>
          <w:rFonts w:hint="eastAsia" w:ascii="宋体" w:hAnsi="宋体" w:eastAsia="宋体" w:cs="宋体"/>
          <w:spacing w:val="4"/>
          <w:sz w:val="30"/>
          <w:szCs w:val="30"/>
          <w:u w:val="single"/>
          <w:lang w:val="en-US" w:eastAsia="zh-CN"/>
        </w:rPr>
        <w:t>6</w:t>
      </w:r>
    </w:p>
    <w:p>
      <w:pPr>
        <w:spacing w:before="75" w:line="360" w:lineRule="auto"/>
        <w:jc w:val="left"/>
        <w:rPr>
          <w:rFonts w:hint="default" w:ascii="Arial"/>
          <w:sz w:val="30"/>
          <w:szCs w:val="30"/>
          <w:lang w:val="en-US"/>
        </w:rPr>
      </w:pPr>
      <w:r>
        <w:rPr>
          <w:rFonts w:ascii="宋体" w:hAnsi="宋体" w:eastAsia="宋体" w:cs="宋体"/>
          <w:spacing w:val="16"/>
          <w:sz w:val="30"/>
          <w:szCs w:val="30"/>
        </w:rPr>
        <w:t>项</w:t>
      </w:r>
      <w:r>
        <w:rPr>
          <w:rFonts w:ascii="宋体" w:hAnsi="宋体" w:eastAsia="宋体" w:cs="宋体"/>
          <w:spacing w:val="9"/>
          <w:sz w:val="30"/>
          <w:szCs w:val="30"/>
        </w:rPr>
        <w:t>目</w:t>
      </w:r>
      <w:r>
        <w:rPr>
          <w:rFonts w:ascii="宋体" w:hAnsi="宋体" w:eastAsia="宋体" w:cs="宋体"/>
          <w:spacing w:val="8"/>
          <w:sz w:val="30"/>
          <w:szCs w:val="30"/>
        </w:rPr>
        <w:t>名称：</w:t>
      </w:r>
      <w:r>
        <w:rPr>
          <w:rFonts w:hint="eastAsia" w:ascii="宋体" w:hAnsi="宋体" w:eastAsia="宋体" w:cs="宋体"/>
          <w:spacing w:val="10"/>
          <w:sz w:val="30"/>
          <w:szCs w:val="30"/>
          <w:u w:val="single"/>
          <w:lang w:val="en-US" w:eastAsia="zh-CN"/>
        </w:rPr>
        <w:t>清真牛羊肉精深加工与清真预制菜加工项目-污水处理设备工程</w:t>
      </w:r>
    </w:p>
    <w:p>
      <w:pPr>
        <w:spacing w:before="75" w:line="360" w:lineRule="auto"/>
        <w:jc w:val="left"/>
        <w:rPr>
          <w:rFonts w:hint="eastAsia" w:ascii="宋体" w:hAnsi="宋体" w:eastAsia="宋体" w:cs="宋体"/>
          <w:sz w:val="30"/>
          <w:szCs w:val="30"/>
          <w:lang w:eastAsia="zh-CN"/>
        </w:rPr>
      </w:pPr>
      <w:r>
        <w:rPr>
          <w:rFonts w:hint="eastAsia" w:ascii="宋体" w:hAnsi="宋体" w:eastAsia="宋体" w:cs="宋体"/>
          <w:spacing w:val="10"/>
          <w:sz w:val="30"/>
          <w:szCs w:val="30"/>
          <w:lang w:val="en-US" w:eastAsia="zh-CN"/>
        </w:rPr>
        <w:t>采 购 人</w:t>
      </w:r>
      <w:r>
        <w:rPr>
          <w:rFonts w:ascii="宋体" w:hAnsi="宋体" w:eastAsia="宋体" w:cs="宋体"/>
          <w:spacing w:val="10"/>
          <w:sz w:val="30"/>
          <w:szCs w:val="30"/>
        </w:rPr>
        <w:t>：</w:t>
      </w:r>
      <w:r>
        <w:rPr>
          <w:rFonts w:hint="eastAsia" w:ascii="宋体" w:hAnsi="宋体" w:eastAsia="宋体" w:cs="宋体"/>
          <w:spacing w:val="10"/>
          <w:sz w:val="30"/>
          <w:szCs w:val="30"/>
          <w:u w:val="single"/>
          <w:lang w:val="en-US" w:eastAsia="zh-CN"/>
        </w:rPr>
        <w:t>川楚联合国际工程有限公司</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91" w:lineRule="auto"/>
        <w:rPr>
          <w:rFonts w:ascii="Arial"/>
          <w:sz w:val="21"/>
        </w:rPr>
      </w:pPr>
    </w:p>
    <w:p>
      <w:pPr>
        <w:spacing w:before="75" w:line="228" w:lineRule="auto"/>
        <w:rPr>
          <w:rFonts w:ascii="宋体" w:hAnsi="宋体" w:eastAsia="宋体" w:cs="宋体"/>
          <w:spacing w:val="4"/>
          <w:sz w:val="28"/>
          <w:szCs w:val="28"/>
        </w:rPr>
      </w:pPr>
    </w:p>
    <w:p>
      <w:pPr>
        <w:spacing w:before="75" w:line="228" w:lineRule="auto"/>
        <w:ind w:left="3254"/>
        <w:rPr>
          <w:rFonts w:ascii="宋体" w:hAnsi="宋体" w:eastAsia="宋体" w:cs="宋体"/>
          <w:spacing w:val="4"/>
          <w:sz w:val="28"/>
          <w:szCs w:val="28"/>
        </w:rPr>
      </w:pPr>
    </w:p>
    <w:p>
      <w:pPr>
        <w:spacing w:before="75" w:line="228" w:lineRule="auto"/>
        <w:ind w:left="3254"/>
        <w:rPr>
          <w:rFonts w:hint="eastAsia" w:ascii="宋体" w:hAnsi="宋体" w:eastAsia="宋体" w:cs="宋体"/>
          <w:sz w:val="28"/>
          <w:szCs w:val="28"/>
          <w:lang w:val="en-US" w:eastAsia="zh-CN"/>
        </w:rPr>
      </w:pPr>
      <w:r>
        <w:rPr>
          <w:rFonts w:ascii="宋体" w:hAnsi="宋体" w:eastAsia="宋体" w:cs="宋体"/>
          <w:spacing w:val="4"/>
          <w:sz w:val="28"/>
          <w:szCs w:val="28"/>
        </w:rPr>
        <w:t>中</w:t>
      </w:r>
      <w:r>
        <w:rPr>
          <w:rFonts w:ascii="宋体" w:hAnsi="宋体" w:eastAsia="宋体" w:cs="宋体"/>
          <w:spacing w:val="3"/>
          <w:sz w:val="28"/>
          <w:szCs w:val="28"/>
        </w:rPr>
        <w:t>国</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四川</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成都</w:t>
      </w:r>
    </w:p>
    <w:p>
      <w:pPr>
        <w:sectPr>
          <w:footerReference r:id="rId5" w:type="default"/>
          <w:pgSz w:w="11905" w:h="16838"/>
          <w:pgMar w:top="1440" w:right="1803" w:bottom="1440" w:left="1803" w:header="0" w:footer="2035" w:gutter="0"/>
          <w:pgNumType w:fmt="decimal"/>
          <w:cols w:space="0" w:num="1"/>
          <w:rtlGutter w:val="0"/>
          <w:docGrid w:linePitch="0" w:charSpace="0"/>
        </w:sectPr>
      </w:pPr>
    </w:p>
    <w:p>
      <w:pPr>
        <w:spacing w:line="295" w:lineRule="auto"/>
        <w:rPr>
          <w:rFonts w:ascii="Arial"/>
          <w:sz w:val="21"/>
        </w:rPr>
      </w:pPr>
    </w:p>
    <w:sdt>
      <w:sdtPr>
        <w:rPr>
          <w:rFonts w:ascii="宋体" w:hAnsi="宋体" w:eastAsia="宋体" w:cs="Arial"/>
          <w:b/>
          <w:bCs/>
          <w:snapToGrid w:val="0"/>
          <w:color w:val="000000"/>
          <w:kern w:val="0"/>
          <w:sz w:val="44"/>
          <w:szCs w:val="44"/>
        </w:rPr>
        <w:id w:val="147453926"/>
        <w15:color w:val="DBDBDB"/>
        <w:docPartObj>
          <w:docPartGallery w:val="Table of Contents"/>
          <w:docPartUnique/>
        </w:docPartObj>
      </w:sdtPr>
      <w:sdtEndPr>
        <w:rPr>
          <w:rFonts w:ascii="Arial" w:hAnsi="Arial" w:eastAsia="Arial" w:cs="Arial"/>
          <w:snapToGrid w:val="0"/>
          <w:color w:val="000000"/>
          <w:kern w:val="0"/>
          <w:sz w:val="21"/>
          <w:szCs w:val="21"/>
        </w:rPr>
      </w:sdtEndPr>
      <w:sdtContent>
        <w:p>
          <w:pPr>
            <w:spacing w:before="0" w:beforeLines="0" w:after="0" w:afterLines="0" w:line="48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_Toc13915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sz w:val="28"/>
              <w:szCs w:val="28"/>
              <w14:textOutline w14:w="7282" w14:cap="sq" w14:cmpd="sng">
                <w14:solidFill>
                  <w14:srgbClr w14:val="000000"/>
                </w14:solidFill>
                <w14:prstDash w14:val="solid"/>
                <w14:bevel/>
              </w14:textOutline>
            </w:rPr>
            <w:t>第一章</w:t>
          </w:r>
          <w:r>
            <w:rPr>
              <w:rFonts w:hint="eastAsia" w:asciiTheme="minorEastAsia" w:hAnsiTheme="minorEastAsia" w:eastAsiaTheme="minorEastAsia" w:cstheme="minorEastAsia"/>
              <w:spacing w:val="-1"/>
              <w:sz w:val="28"/>
              <w:szCs w:val="28"/>
              <w:lang w:val="en-US" w:eastAsia="zh-CN"/>
              <w14:textOutline w14:w="7282"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1"/>
              <w:sz w:val="28"/>
              <w:szCs w:val="28"/>
              <w14:textOutline w14:w="7282" w14:cap="sq" w14:cmpd="sng">
                <w14:solidFill>
                  <w14:srgbClr w14:val="000000"/>
                </w14:solidFill>
                <w14:prstDash w14:val="solid"/>
                <w14:bevel/>
              </w14:textOutline>
            </w:rPr>
            <w:t>竞争性磋商邀请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_Toc13915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_Toc18224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
              <w:sz w:val="28"/>
              <w:szCs w:val="28"/>
              <w14:textOutline w14:w="7282" w14:cap="sq" w14:cmpd="sng">
                <w14:solidFill>
                  <w14:srgbClr w14:val="000000"/>
                </w14:solidFill>
                <w14:prstDash w14:val="solid"/>
                <w14:bevel/>
              </w14:textOutline>
            </w:rPr>
            <w:t>第二章</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1"/>
              <w:sz w:val="28"/>
              <w:szCs w:val="28"/>
              <w14:textOutline w14:w="7282" w14:cap="sq" w14:cmpd="sng">
                <w14:solidFill>
                  <w14:srgbClr w14:val="000000"/>
                </w14:solidFill>
                <w14:prstDash w14:val="solid"/>
                <w14:bevel/>
              </w14:textOutline>
            </w:rPr>
            <w:t>投标人须</w:t>
          </w:r>
          <w:r>
            <w:rPr>
              <w:rFonts w:hint="eastAsia" w:asciiTheme="minorEastAsia" w:hAnsiTheme="minorEastAsia" w:eastAsiaTheme="minorEastAsia" w:cstheme="minorEastAsia"/>
              <w:sz w:val="28"/>
              <w:szCs w:val="28"/>
              <w14:textOutline w14:w="7282" w14:cap="sq" w14:cmpd="sng">
                <w14:solidFill>
                  <w14:srgbClr w14:val="000000"/>
                </w14:solidFill>
                <w14:prstDash w14:val="solid"/>
                <w14:bevel/>
              </w14:textOutline>
            </w:rPr>
            <w:t>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_Toc18224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_Toc13350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4"/>
              <w:sz w:val="28"/>
              <w:szCs w:val="28"/>
              <w:lang w:val="en-US" w:eastAsia="zh-CN"/>
              <w14:textOutline w14:w="6537" w14:cap="sq" w14:cmpd="sng">
                <w14:solidFill>
                  <w14:srgbClr w14:val="000000"/>
                </w14:solidFill>
                <w14:prstDash w14:val="solid"/>
                <w14:bevel/>
              </w14:textOutline>
            </w:rPr>
            <w:t>第三章 技术要求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_Toc13350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_Toc32727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2"/>
              <w:sz w:val="28"/>
              <w:szCs w:val="28"/>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14:textOutline w14:w="6537" w14:cap="sq" w14:cmpd="sng">
                <w14:solidFill>
                  <w14:srgbClr w14:val="000000"/>
                </w14:solidFill>
                <w14:prstDash w14:val="solid"/>
                <w14:bevel/>
              </w14:textOutline>
            </w:rPr>
            <w:t>四</w:t>
          </w:r>
          <w:r>
            <w:rPr>
              <w:rFonts w:hint="eastAsia" w:asciiTheme="minorEastAsia" w:hAnsiTheme="minorEastAsia" w:eastAsiaTheme="minorEastAsia" w:cstheme="minorEastAsia"/>
              <w:spacing w:val="8"/>
              <w:sz w:val="28"/>
              <w:szCs w:val="28"/>
              <w14:textOutline w14:w="6537"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8"/>
              <w:sz w:val="28"/>
              <w:szCs w:val="28"/>
              <w14:textOutline w14:w="6537" w14:cap="sq" w14:cmpd="sng">
                <w14:solidFill>
                  <w14:srgbClr w14:val="000000"/>
                </w14:solidFill>
                <w14:prstDash w14:val="solid"/>
                <w14:bevel/>
              </w14:textOutline>
            </w:rPr>
            <w:t>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_Toc32727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_Toc16015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2"/>
              <w:sz w:val="28"/>
              <w:szCs w:val="28"/>
              <w:lang w:val="en-US" w:eastAsia="zh-CN"/>
              <w14:textOutline w14:w="6537" w14:cap="sq" w14:cmpd="sng">
                <w14:solidFill>
                  <w14:srgbClr w14:val="000000"/>
                </w14:solidFill>
                <w14:prstDash w14:val="solid"/>
                <w14:bevel/>
              </w14:textOutline>
            </w:rPr>
            <w:t>第五章 技术协议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_Toc16015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299"/>
            </w:tabs>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_Toc11371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
              <w:sz w:val="28"/>
              <w:szCs w:val="28"/>
              <w14:textOutline w14:w="7282" w14:cap="sq" w14:cmpd="sng">
                <w14:solidFill>
                  <w14:srgbClr w14:val="000000"/>
                </w14:solidFill>
                <w14:prstDash w14:val="solid"/>
                <w14:bevel/>
              </w14:textOutline>
            </w:rPr>
            <w:t>第</w:t>
          </w:r>
          <w:r>
            <w:rPr>
              <w:rFonts w:hint="eastAsia" w:asciiTheme="minorEastAsia" w:hAnsiTheme="minorEastAsia" w:eastAsiaTheme="minorEastAsia" w:cstheme="minorEastAsia"/>
              <w:spacing w:val="-2"/>
              <w:sz w:val="28"/>
              <w:szCs w:val="28"/>
              <w:lang w:val="en-US" w:eastAsia="zh-CN"/>
              <w14:textOutline w14:w="7282" w14:cap="sq" w14:cmpd="sng">
                <w14:solidFill>
                  <w14:srgbClr w14:val="000000"/>
                </w14:solidFill>
                <w14:prstDash w14:val="solid"/>
                <w14:bevel/>
              </w14:textOutline>
            </w:rPr>
            <w:t>六</w:t>
          </w:r>
          <w:r>
            <w:rPr>
              <w:rFonts w:hint="eastAsia" w:asciiTheme="minorEastAsia" w:hAnsiTheme="minorEastAsia" w:eastAsiaTheme="minorEastAsia" w:cstheme="minorEastAsia"/>
              <w:spacing w:val="-2"/>
              <w:sz w:val="28"/>
              <w:szCs w:val="28"/>
              <w14:textOutline w14:w="7282" w14:cap="sq" w14:cmpd="sng">
                <w14:solidFill>
                  <w14:srgbClr w14:val="000000"/>
                </w14:solidFill>
                <w14:prstDash w14:val="solid"/>
                <w14:bevel/>
              </w14:textOutline>
            </w:rPr>
            <w:t>章</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1"/>
              <w:sz w:val="28"/>
              <w:szCs w:val="28"/>
              <w14:textOutline w14:w="7282" w14:cap="sq" w14:cmpd="sng">
                <w14:solidFill>
                  <w14:srgbClr w14:val="000000"/>
                </w14:solidFill>
                <w14:prstDash w14:val="solid"/>
                <w14:bevel/>
              </w14:textOutline>
            </w:rPr>
            <w:t>附件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_Toc11371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spacing w:before="14" w:line="480" w:lineRule="auto"/>
            <w:ind w:firstLine="2"/>
            <w:textAlignment w:val="center"/>
          </w:pPr>
          <w:r>
            <w:rPr>
              <w:rFonts w:hint="eastAsia" w:asciiTheme="minorEastAsia" w:hAnsiTheme="minorEastAsia" w:eastAsiaTheme="minorEastAsia" w:cstheme="minorEastAsia"/>
              <w:sz w:val="28"/>
              <w:szCs w:val="28"/>
            </w:rPr>
            <w:fldChar w:fldCharType="end"/>
          </w:r>
        </w:p>
      </w:sdtContent>
    </w:sdt>
    <w:p>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pPr>
    </w:p>
    <w:p>
      <w:pPr>
        <w:pStyle w:val="2"/>
        <w:rPr>
          <w:rFonts w:ascii="宋体" w:hAnsi="宋体" w:eastAsia="宋体" w:cs="宋体"/>
          <w:spacing w:val="-1"/>
          <w:sz w:val="40"/>
          <w:szCs w:val="40"/>
          <w14:textOutline w14:w="7282" w14:cap="sq" w14:cmpd="sng">
            <w14:solidFill>
              <w14:srgbClr w14:val="000000"/>
            </w14:solidFill>
            <w14:prstDash w14:val="solid"/>
            <w14:bevel/>
          </w14:textOutline>
        </w:rPr>
      </w:pPr>
    </w:p>
    <w:p>
      <w:pPr>
        <w:pStyle w:val="2"/>
        <w:rPr>
          <w:rFonts w:ascii="宋体" w:hAnsi="宋体" w:eastAsia="宋体" w:cs="宋体"/>
          <w:spacing w:val="-1"/>
          <w:sz w:val="40"/>
          <w:szCs w:val="40"/>
          <w14:textOutline w14:w="7282" w14:cap="sq" w14:cmpd="sng">
            <w14:solidFill>
              <w14:srgbClr w14:val="000000"/>
            </w14:solidFill>
            <w14:prstDash w14:val="solid"/>
            <w14:bevel/>
          </w14:textOutline>
        </w:rPr>
        <w:sectPr>
          <w:headerReference r:id="rId6" w:type="default"/>
          <w:footerReference r:id="rId7" w:type="default"/>
          <w:pgSz w:w="11905" w:h="16838"/>
          <w:pgMar w:top="1440" w:right="1803" w:bottom="1440" w:left="1803" w:header="283" w:footer="340" w:gutter="0"/>
          <w:pgNumType w:fmt="decimal" w:start="1"/>
          <w:cols w:space="0" w:num="1"/>
          <w:rtlGutter w:val="0"/>
          <w:docGrid w:linePitch="0" w:charSpace="0"/>
        </w:sectPr>
      </w:pPr>
    </w:p>
    <w:p>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pPr>
      <w:bookmarkStart w:id="0" w:name="_Toc13915"/>
      <w:r>
        <w:rPr>
          <w:rFonts w:ascii="宋体" w:hAnsi="宋体" w:eastAsia="宋体" w:cs="宋体"/>
          <w:spacing w:val="-1"/>
          <w:sz w:val="40"/>
          <w:szCs w:val="40"/>
          <w14:textOutline w14:w="7282" w14:cap="sq" w14:cmpd="sng">
            <w14:solidFill>
              <w14:srgbClr w14:val="000000"/>
            </w14:solidFill>
            <w14:prstDash w14:val="solid"/>
            <w14:bevel/>
          </w14:textOutline>
        </w:rPr>
        <w:t>第一章    竞争性磋商邀请</w:t>
      </w:r>
      <w:bookmarkEnd w:id="0"/>
    </w:p>
    <w:p>
      <w:pPr>
        <w:spacing w:before="234" w:line="360" w:lineRule="auto"/>
        <w:ind w:left="10" w:right="7" w:firstLine="487"/>
      </w:pPr>
      <w:r>
        <w:rPr>
          <w:rFonts w:hint="eastAsia" w:ascii="宋体" w:hAnsi="宋体" w:eastAsia="宋体" w:cs="宋体"/>
          <w:spacing w:val="15"/>
          <w:sz w:val="24"/>
          <w:szCs w:val="24"/>
          <w:lang w:val="en-US" w:eastAsia="zh-CN"/>
        </w:rPr>
        <w:t>由川楚联合国际工程有限公司承建的</w:t>
      </w:r>
      <w:r>
        <w:rPr>
          <w:rFonts w:hint="eastAsia" w:ascii="宋体" w:hAnsi="宋体" w:eastAsia="宋体" w:cs="宋体"/>
          <w:spacing w:val="15"/>
          <w:sz w:val="24"/>
          <w:szCs w:val="24"/>
          <w:u w:val="single"/>
          <w:lang w:val="en-US" w:eastAsia="zh-CN"/>
        </w:rPr>
        <w:t>清真牛羊肉精深加工与清真预制菜加工项目</w:t>
      </w:r>
      <w:r>
        <w:rPr>
          <w:rFonts w:hint="eastAsia" w:ascii="宋体" w:hAnsi="宋体" w:eastAsia="宋体" w:cs="宋体"/>
          <w:spacing w:val="15"/>
          <w:sz w:val="24"/>
          <w:szCs w:val="24"/>
          <w:lang w:val="en-US" w:eastAsia="zh-CN"/>
        </w:rPr>
        <w:t>，</w:t>
      </w:r>
      <w:r>
        <w:rPr>
          <w:rFonts w:ascii="宋体" w:hAnsi="宋体" w:eastAsia="宋体" w:cs="宋体"/>
          <w:spacing w:val="15"/>
          <w:sz w:val="24"/>
          <w:szCs w:val="24"/>
        </w:rPr>
        <w:t>就</w:t>
      </w:r>
      <w:r>
        <w:rPr>
          <w:rFonts w:hint="eastAsia" w:ascii="宋体" w:hAnsi="宋体" w:eastAsia="宋体" w:cs="宋体"/>
          <w:spacing w:val="20"/>
          <w:sz w:val="24"/>
          <w:szCs w:val="24"/>
          <w:lang w:val="en-US" w:eastAsia="zh-CN"/>
        </w:rPr>
        <w:t>该项目辅助配套设备采购</w:t>
      </w:r>
      <w:r>
        <w:rPr>
          <w:rFonts w:ascii="宋体" w:hAnsi="宋体" w:eastAsia="宋体" w:cs="宋体"/>
          <w:spacing w:val="12"/>
          <w:sz w:val="24"/>
          <w:szCs w:val="24"/>
        </w:rPr>
        <w:t>以竞争性磋商形式进行采购，欢迎符合资格条</w:t>
      </w:r>
      <w:r>
        <w:rPr>
          <w:rFonts w:ascii="宋体" w:hAnsi="宋体" w:eastAsia="宋体" w:cs="宋体"/>
          <w:spacing w:val="13"/>
          <w:sz w:val="24"/>
          <w:szCs w:val="24"/>
        </w:rPr>
        <w:t>件</w:t>
      </w:r>
      <w:r>
        <w:rPr>
          <w:rFonts w:ascii="宋体" w:hAnsi="宋体" w:eastAsia="宋体" w:cs="宋体"/>
          <w:spacing w:val="11"/>
          <w:sz w:val="24"/>
          <w:szCs w:val="24"/>
        </w:rPr>
        <w:t>的投标人前来参加。</w:t>
      </w:r>
    </w:p>
    <w:p>
      <w:pPr>
        <w:spacing w:line="360" w:lineRule="auto"/>
        <w:rPr>
          <w:rFonts w:hint="default" w:ascii="宋体" w:hAnsi="宋体" w:eastAsia="宋体" w:cs="宋体"/>
          <w:sz w:val="24"/>
          <w:szCs w:val="24"/>
          <w:lang w:val="en-US" w:eastAsia="zh-CN"/>
        </w:rPr>
      </w:pPr>
      <w:r>
        <w:rPr>
          <w:rFonts w:ascii="宋体" w:hAnsi="宋体" w:eastAsia="宋体" w:cs="宋体"/>
          <w:spacing w:val="10"/>
          <w:sz w:val="24"/>
          <w:szCs w:val="24"/>
          <w14:textOutline w14:w="4358" w14:cap="sq" w14:cmpd="sng">
            <w14:solidFill>
              <w14:srgbClr w14:val="000000"/>
            </w14:solidFill>
            <w14:prstDash w14:val="solid"/>
            <w14:bevel/>
          </w14:textOutline>
        </w:rPr>
        <w:t>一</w:t>
      </w:r>
      <w:r>
        <w:rPr>
          <w:rFonts w:ascii="宋体" w:hAnsi="宋体" w:eastAsia="宋体" w:cs="宋体"/>
          <w:spacing w:val="7"/>
          <w:sz w:val="24"/>
          <w:szCs w:val="24"/>
          <w14:textOutline w14:w="4358" w14:cap="sq" w14:cmpd="sng">
            <w14:solidFill>
              <w14:srgbClr w14:val="000000"/>
            </w14:solidFill>
            <w14:prstDash w14:val="solid"/>
            <w14:bevel/>
          </w14:textOutline>
        </w:rPr>
        <w:t>、磋商文件编号：</w:t>
      </w:r>
      <w:r>
        <w:rPr>
          <w:rFonts w:ascii="宋体" w:hAnsi="宋体" w:eastAsia="宋体" w:cs="宋体"/>
          <w:spacing w:val="7"/>
          <w:sz w:val="24"/>
          <w:szCs w:val="24"/>
        </w:rPr>
        <w:t>2023</w:t>
      </w:r>
      <w:r>
        <w:rPr>
          <w:rFonts w:hint="eastAsia" w:ascii="宋体" w:hAnsi="宋体" w:eastAsia="宋体" w:cs="宋体"/>
          <w:sz w:val="24"/>
          <w:szCs w:val="24"/>
          <w:lang w:val="en-US" w:eastAsia="zh-CN"/>
        </w:rPr>
        <w:t>CCINCG006</w:t>
      </w:r>
    </w:p>
    <w:p>
      <w:pPr>
        <w:spacing w:line="360" w:lineRule="auto"/>
        <w:rPr>
          <w:rFonts w:hint="eastAsia" w:ascii="宋体" w:hAnsi="宋体" w:eastAsia="宋体" w:cs="宋体"/>
          <w:spacing w:val="10"/>
          <w:sz w:val="24"/>
          <w:szCs w:val="24"/>
          <w:lang w:val="en-US" w:eastAsia="zh-CN"/>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t>二、</w:t>
      </w:r>
      <w:r>
        <w:rPr>
          <w:rFonts w:hint="eastAsia" w:ascii="宋体" w:hAnsi="宋体" w:eastAsia="宋体" w:cs="宋体"/>
          <w:spacing w:val="10"/>
          <w:sz w:val="24"/>
          <w:szCs w:val="24"/>
          <w:lang w:val="en-US" w:eastAsia="zh-CN"/>
          <w14:textOutline w14:w="4358" w14:cap="sq" w14:cmpd="sng">
            <w14:solidFill>
              <w14:srgbClr w14:val="000000"/>
            </w14:solidFill>
            <w14:prstDash w14:val="solid"/>
            <w14:bevel/>
          </w14:textOutline>
        </w:rPr>
        <w:t>项目概述：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default"/>
          <w:lang w:val="en-US" w:eastAsia="zh-CN"/>
        </w:rPr>
      </w:pPr>
      <w:r>
        <w:rPr>
          <w:rFonts w:hint="eastAsia" w:ascii="宋体" w:hAnsi="宋体" w:eastAsia="宋体" w:cs="宋体"/>
          <w:spacing w:val="8"/>
          <w:position w:val="1"/>
          <w:sz w:val="24"/>
          <w:szCs w:val="24"/>
        </w:rPr>
        <w:t>清真牛羊肉精深加工与清真预制菜加工项目为惠发（临夏州）食品供应链科技有限公司在甘肃省临夏州临夏县实施。本项目为改建工程，项目计划利用分拣加工中心，改建内容分为两块：（1）一层北侧区域改建为清真牛羊肉精深加工车间；（2）一层南侧区域和二层整层改建为清真预制菜加工车间。改建面积：总建筑面积22466.90m²，其中牛羊肉精深加工车间4160.00㎡，预制菜加工车间18306.90㎡。生产规模：年产牛羊肉精深加工产品13500吨，预制菜产品26500吨，总计40000吨产品。</w:t>
      </w:r>
    </w:p>
    <w:p>
      <w:pPr>
        <w:spacing w:line="360" w:lineRule="auto"/>
        <w:rPr>
          <w:rFonts w:ascii="宋体" w:hAnsi="宋体" w:eastAsia="宋体" w:cs="宋体"/>
          <w:spacing w:val="10"/>
          <w:sz w:val="24"/>
          <w:szCs w:val="24"/>
          <w14:textOutline w14:w="4358" w14:cap="sq" w14:cmpd="sng">
            <w14:solidFill>
              <w14:srgbClr w14:val="000000"/>
            </w14:solidFill>
            <w14:prstDash w14:val="solid"/>
            <w14:bevel/>
          </w14:textOutline>
        </w:rPr>
      </w:pPr>
      <w:r>
        <w:rPr>
          <w:rFonts w:hint="eastAsia" w:ascii="宋体" w:hAnsi="宋体" w:eastAsia="宋体" w:cs="宋体"/>
          <w:spacing w:val="10"/>
          <w:sz w:val="24"/>
          <w:szCs w:val="24"/>
          <w:lang w:val="en-US" w:eastAsia="zh-CN"/>
          <w14:textOutline w14:w="4358" w14:cap="sq" w14:cmpd="sng">
            <w14:solidFill>
              <w14:srgbClr w14:val="000000"/>
            </w14:solidFill>
            <w14:prstDash w14:val="solid"/>
            <w14:bevel/>
          </w14:textOutline>
        </w:rPr>
        <w:t>三、</w:t>
      </w:r>
      <w:r>
        <w:rPr>
          <w:rFonts w:ascii="宋体" w:hAnsi="宋体" w:eastAsia="宋体" w:cs="宋体"/>
          <w:spacing w:val="10"/>
          <w:sz w:val="24"/>
          <w:szCs w:val="24"/>
          <w14:textOutline w14:w="4358" w14:cap="sq" w14:cmpd="sng">
            <w14:solidFill>
              <w14:srgbClr w14:val="000000"/>
            </w14:solidFill>
            <w14:prstDash w14:val="solid"/>
            <w14:bevel/>
          </w14:textOutline>
        </w:rPr>
        <w:t>磋商内容：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宋体" w:hAnsi="宋体" w:eastAsia="宋体" w:cs="宋体"/>
          <w:b w:val="0"/>
          <w:bCs w:val="0"/>
          <w:spacing w:val="26"/>
          <w:sz w:val="24"/>
          <w:szCs w:val="24"/>
        </w:rPr>
      </w:pPr>
      <w:r>
        <w:rPr>
          <w:rFonts w:hint="eastAsia" w:ascii="宋体" w:hAnsi="宋体" w:eastAsia="宋体" w:cs="宋体"/>
          <w:b w:val="0"/>
          <w:bCs w:val="0"/>
          <w:spacing w:val="18"/>
          <w:sz w:val="24"/>
          <w:szCs w:val="24"/>
          <w:lang w:val="en-US" w:eastAsia="zh-CN"/>
        </w:rPr>
        <w:t>招标项目：</w:t>
      </w:r>
      <w:r>
        <w:rPr>
          <w:rFonts w:hint="eastAsia" w:ascii="宋体" w:hAnsi="宋体" w:eastAsia="宋体" w:cs="宋体"/>
          <w:b w:val="0"/>
          <w:bCs w:val="0"/>
          <w:spacing w:val="26"/>
          <w:sz w:val="24"/>
          <w:szCs w:val="24"/>
        </w:rPr>
        <w:t>《</w:t>
      </w:r>
      <w:r>
        <w:rPr>
          <w:rFonts w:hint="eastAsia" w:ascii="宋体" w:hAnsi="宋体" w:eastAsia="宋体" w:cs="宋体"/>
          <w:b w:val="0"/>
          <w:bCs w:val="0"/>
          <w:spacing w:val="15"/>
          <w:sz w:val="24"/>
          <w:szCs w:val="24"/>
          <w:u w:val="single"/>
          <w:lang w:val="en-US" w:eastAsia="zh-CN"/>
        </w:rPr>
        <w:t>清真牛羊肉精深加工与清真预制菜加工项目</w:t>
      </w:r>
      <w:r>
        <w:rPr>
          <w:rFonts w:hint="eastAsia" w:ascii="宋体" w:hAnsi="宋体" w:eastAsia="宋体" w:cs="宋体"/>
          <w:b w:val="0"/>
          <w:bCs w:val="0"/>
          <w:spacing w:val="26"/>
          <w:sz w:val="24"/>
          <w:szCs w:val="24"/>
        </w:rPr>
        <w:t>-</w:t>
      </w:r>
      <w:r>
        <w:rPr>
          <w:rFonts w:hint="eastAsia" w:ascii="宋体" w:hAnsi="宋体" w:eastAsia="宋体" w:cs="宋体"/>
          <w:b w:val="0"/>
          <w:bCs w:val="0"/>
          <w:spacing w:val="26"/>
          <w:sz w:val="24"/>
          <w:szCs w:val="24"/>
          <w:lang w:eastAsia="zh-CN"/>
        </w:rPr>
        <w:t>污水处理</w:t>
      </w:r>
      <w:r>
        <w:rPr>
          <w:rFonts w:hint="eastAsia" w:ascii="宋体" w:hAnsi="宋体" w:eastAsia="宋体" w:cs="宋体"/>
          <w:b w:val="0"/>
          <w:bCs w:val="0"/>
          <w:spacing w:val="26"/>
          <w:sz w:val="24"/>
          <w:szCs w:val="24"/>
          <w:lang w:val="en-US" w:eastAsia="zh-CN"/>
        </w:rPr>
        <w:t>成套</w:t>
      </w:r>
      <w:r>
        <w:rPr>
          <w:rFonts w:hint="eastAsia" w:ascii="宋体" w:hAnsi="宋体" w:eastAsia="宋体" w:cs="宋体"/>
          <w:b w:val="0"/>
          <w:bCs w:val="0"/>
          <w:spacing w:val="26"/>
          <w:sz w:val="24"/>
          <w:szCs w:val="24"/>
        </w:rPr>
        <w:t>设备工程》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26"/>
          <w:sz w:val="24"/>
          <w:szCs w:val="24"/>
          <w:lang w:val="en-US" w:eastAsia="zh-CN"/>
        </w:rPr>
      </w:pPr>
      <w:r>
        <w:rPr>
          <w:rFonts w:hint="eastAsia" w:ascii="宋体" w:hAnsi="宋体" w:eastAsia="宋体" w:cs="宋体"/>
          <w:spacing w:val="8"/>
          <w:position w:val="1"/>
          <w:sz w:val="24"/>
          <w:szCs w:val="24"/>
          <w:lang w:val="en-US" w:eastAsia="zh-CN"/>
        </w:rPr>
        <w:t>招标内容：</w:t>
      </w:r>
      <w:r>
        <w:rPr>
          <w:rFonts w:hint="eastAsia" w:ascii="宋体" w:hAnsi="宋体" w:eastAsia="宋体" w:cs="宋体"/>
          <w:spacing w:val="8"/>
          <w:position w:val="1"/>
          <w:sz w:val="24"/>
          <w:szCs w:val="24"/>
        </w:rPr>
        <w:t>《</w:t>
      </w:r>
      <w:r>
        <w:rPr>
          <w:rFonts w:hint="eastAsia" w:ascii="宋体" w:hAnsi="宋体" w:eastAsia="宋体" w:cs="宋体"/>
          <w:spacing w:val="8"/>
          <w:position w:val="1"/>
          <w:sz w:val="24"/>
          <w:szCs w:val="24"/>
          <w:lang w:val="en-US" w:eastAsia="zh-CN"/>
        </w:rPr>
        <w:t>清真牛羊肉精深加工与清真预制菜加工项目</w:t>
      </w:r>
      <w:r>
        <w:rPr>
          <w:rFonts w:hint="eastAsia" w:ascii="宋体" w:hAnsi="宋体" w:eastAsia="宋体" w:cs="宋体"/>
          <w:spacing w:val="8"/>
          <w:position w:val="1"/>
          <w:sz w:val="24"/>
          <w:szCs w:val="24"/>
        </w:rPr>
        <w:t>-</w:t>
      </w:r>
      <w:r>
        <w:rPr>
          <w:rFonts w:hint="eastAsia" w:ascii="宋体" w:hAnsi="宋体" w:eastAsia="宋体" w:cs="宋体"/>
          <w:spacing w:val="8"/>
          <w:position w:val="1"/>
          <w:sz w:val="24"/>
          <w:szCs w:val="24"/>
          <w:lang w:eastAsia="zh-CN"/>
        </w:rPr>
        <w:t>污水处理</w:t>
      </w:r>
      <w:r>
        <w:rPr>
          <w:rFonts w:hint="eastAsia" w:ascii="宋体" w:hAnsi="宋体" w:eastAsia="宋体" w:cs="宋体"/>
          <w:spacing w:val="8"/>
          <w:position w:val="1"/>
          <w:sz w:val="24"/>
          <w:szCs w:val="24"/>
          <w:lang w:val="en-US" w:eastAsia="zh-CN"/>
        </w:rPr>
        <w:t>成套</w:t>
      </w:r>
      <w:r>
        <w:rPr>
          <w:rFonts w:hint="eastAsia" w:ascii="宋体" w:hAnsi="宋体" w:eastAsia="宋体" w:cs="宋体"/>
          <w:spacing w:val="8"/>
          <w:position w:val="1"/>
          <w:sz w:val="24"/>
          <w:szCs w:val="24"/>
        </w:rPr>
        <w:t>设备工程》</w:t>
      </w:r>
      <w:r>
        <w:rPr>
          <w:rFonts w:hint="eastAsia" w:ascii="宋体" w:hAnsi="宋体" w:eastAsia="宋体" w:cs="宋体"/>
          <w:spacing w:val="8"/>
          <w:position w:val="1"/>
          <w:sz w:val="24"/>
          <w:szCs w:val="24"/>
          <w:lang w:val="en-US" w:eastAsia="zh-CN"/>
        </w:rPr>
        <w:t>包含新增500m3污水处理池土建及安装工程、新增钢结构设备间两间土建及安装工程、连接井8座、相关管线、阀件安装及地面处理、一体化污水处理设备一套（含厌氧池、好氧池、沉淀池、消毒池）、新增污水处理回转粗格栅机、回转细格栅机、隔油除污机、气浮机、组合填料、加药设备、污泥叠螺机、消毒设备、膜处理设备、接种菌种、配套泵阀、相应的电线电缆、灯具安装等完成新增500m3污水处理能力处理站全部项目内容。</w:t>
      </w:r>
      <w:r>
        <w:rPr>
          <w:rFonts w:hint="eastAsia" w:ascii="宋体" w:hAnsi="宋体" w:eastAsia="宋体" w:cs="宋体"/>
          <w:spacing w:val="26"/>
          <w:sz w:val="24"/>
          <w:szCs w:val="24"/>
          <w:lang w:val="en-US" w:eastAsia="zh-CN"/>
        </w:rPr>
        <w:t>详见磋商技术文件。</w:t>
      </w:r>
    </w:p>
    <w:p>
      <w:pPr>
        <w:keepNext w:val="0"/>
        <w:keepLines w:val="0"/>
        <w:widowControl/>
        <w:suppressLineNumbers w:val="0"/>
        <w:spacing w:line="360" w:lineRule="auto"/>
        <w:ind w:firstLine="584" w:firstLineChars="200"/>
        <w:jc w:val="left"/>
        <w:textAlignment w:val="center"/>
        <w:rPr>
          <w:rFonts w:hint="eastAsia" w:ascii="宋体" w:hAnsi="宋体" w:eastAsia="宋体" w:cs="宋体"/>
          <w:spacing w:val="26"/>
          <w:sz w:val="24"/>
          <w:szCs w:val="24"/>
          <w:highlight w:val="none"/>
        </w:rPr>
      </w:pPr>
      <w:r>
        <w:rPr>
          <w:rFonts w:hint="eastAsia" w:ascii="宋体" w:hAnsi="宋体" w:eastAsia="宋体" w:cs="宋体"/>
          <w:spacing w:val="26"/>
          <w:sz w:val="24"/>
          <w:szCs w:val="24"/>
          <w:highlight w:val="none"/>
        </w:rPr>
        <w:t>工期：</w:t>
      </w:r>
      <w:r>
        <w:rPr>
          <w:rFonts w:hint="eastAsia" w:ascii="宋体" w:hAnsi="宋体" w:eastAsia="宋体" w:cs="宋体"/>
          <w:spacing w:val="26"/>
          <w:sz w:val="24"/>
          <w:szCs w:val="24"/>
          <w:highlight w:val="none"/>
          <w:lang w:val="en-US" w:eastAsia="zh-CN"/>
        </w:rPr>
        <w:t>中标</w:t>
      </w:r>
      <w:r>
        <w:rPr>
          <w:rFonts w:hint="eastAsia" w:ascii="宋体" w:hAnsi="宋体" w:eastAsia="宋体" w:cs="宋体"/>
          <w:spacing w:val="26"/>
          <w:sz w:val="24"/>
          <w:szCs w:val="24"/>
          <w:highlight w:val="none"/>
        </w:rPr>
        <w:t>生效</w:t>
      </w:r>
      <w:r>
        <w:rPr>
          <w:rFonts w:hint="eastAsia" w:ascii="宋体" w:hAnsi="宋体" w:eastAsia="宋体" w:cs="宋体"/>
          <w:spacing w:val="26"/>
          <w:sz w:val="24"/>
          <w:szCs w:val="24"/>
          <w:highlight w:val="none"/>
          <w:lang w:eastAsia="zh-CN"/>
        </w:rPr>
        <w:t>（</w:t>
      </w:r>
      <w:r>
        <w:rPr>
          <w:rFonts w:hint="eastAsia" w:ascii="宋体" w:hAnsi="宋体" w:eastAsia="宋体" w:cs="宋体"/>
          <w:spacing w:val="26"/>
          <w:sz w:val="24"/>
          <w:szCs w:val="24"/>
          <w:highlight w:val="none"/>
          <w:lang w:val="en-US" w:eastAsia="zh-CN"/>
        </w:rPr>
        <w:t>即甲方电子邮件、传真、微信、QQ发送的中标告知，一经发出即被视为已送达；书信于邮寄之日起第三日即被视为已送达</w:t>
      </w:r>
      <w:r>
        <w:rPr>
          <w:rFonts w:hint="eastAsia" w:ascii="宋体" w:hAnsi="宋体" w:eastAsia="宋体" w:cs="宋体"/>
          <w:spacing w:val="26"/>
          <w:sz w:val="24"/>
          <w:szCs w:val="24"/>
          <w:highlight w:val="none"/>
          <w:lang w:eastAsia="zh-CN"/>
        </w:rPr>
        <w:t>）</w:t>
      </w:r>
      <w:r>
        <w:rPr>
          <w:rFonts w:hint="eastAsia" w:ascii="宋体" w:hAnsi="宋体" w:eastAsia="宋体" w:cs="宋体"/>
          <w:spacing w:val="26"/>
          <w:sz w:val="24"/>
          <w:szCs w:val="24"/>
          <w:highlight w:val="none"/>
          <w:lang w:val="en-US" w:eastAsia="zh-CN"/>
        </w:rPr>
        <w:t>之日起</w:t>
      </w:r>
      <w:r>
        <w:rPr>
          <w:rFonts w:hint="eastAsia" w:ascii="宋体" w:hAnsi="宋体" w:eastAsia="宋体" w:cs="宋体"/>
          <w:spacing w:val="26"/>
          <w:sz w:val="24"/>
          <w:szCs w:val="24"/>
          <w:highlight w:val="none"/>
        </w:rPr>
        <w:t>30天内完成供货、安装及调试。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highlight w:val="none"/>
          <w:lang w:eastAsia="zh-CN"/>
        </w:rPr>
      </w:pPr>
      <w:r>
        <w:rPr>
          <w:rFonts w:hint="eastAsia" w:ascii="宋体" w:hAnsi="宋体" w:eastAsia="宋体" w:cs="宋体"/>
          <w:spacing w:val="18"/>
          <w:sz w:val="24"/>
          <w:szCs w:val="24"/>
          <w:highlight w:val="none"/>
        </w:rPr>
        <w:t>要求</w:t>
      </w:r>
      <w:r>
        <w:rPr>
          <w:rFonts w:hint="eastAsia" w:ascii="宋体" w:hAnsi="宋体" w:eastAsia="宋体" w:cs="宋体"/>
          <w:spacing w:val="18"/>
          <w:sz w:val="24"/>
          <w:szCs w:val="24"/>
          <w:highlight w:val="none"/>
          <w:lang w:val="en-US" w:eastAsia="zh-CN"/>
        </w:rPr>
        <w:t>附表：</w:t>
      </w:r>
      <w:r>
        <w:rPr>
          <w:rFonts w:hint="eastAsia" w:ascii="宋体" w:hAnsi="宋体" w:eastAsia="宋体" w:cs="宋体"/>
          <w:spacing w:val="18"/>
          <w:sz w:val="24"/>
          <w:szCs w:val="24"/>
          <w:highlight w:val="none"/>
        </w:rPr>
        <w:t>报价一览表</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rPr>
        <w:t>承诺函</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rPr>
        <w:t>售后服务承诺分别独立制作</w:t>
      </w:r>
      <w:r>
        <w:rPr>
          <w:rFonts w:hint="eastAsia" w:ascii="宋体" w:hAnsi="宋体" w:eastAsia="宋体" w:cs="宋体"/>
          <w:spacing w:val="1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z w:val="24"/>
          <w:szCs w:val="24"/>
        </w:rPr>
      </w:pPr>
      <w:r>
        <w:rPr>
          <w:rFonts w:hint="eastAsia" w:ascii="宋体" w:hAnsi="宋体" w:eastAsia="宋体" w:cs="宋体"/>
          <w:spacing w:val="9"/>
          <w:position w:val="1"/>
          <w:sz w:val="24"/>
          <w:szCs w:val="24"/>
          <w:lang w:eastAsia="zh-CN"/>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、投标人资格要求：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1、</w:t>
      </w:r>
      <w:r>
        <w:rPr>
          <w:rFonts w:hint="eastAsia" w:ascii="宋体" w:hAnsi="宋体" w:eastAsia="宋体" w:cs="宋体"/>
          <w:spacing w:val="11"/>
          <w:position w:val="1"/>
          <w:sz w:val="24"/>
          <w:szCs w:val="24"/>
        </w:rPr>
        <w:t>投</w:t>
      </w:r>
      <w:r>
        <w:rPr>
          <w:rFonts w:hint="eastAsia" w:ascii="宋体" w:hAnsi="宋体" w:eastAsia="宋体" w:cs="宋体"/>
          <w:spacing w:val="8"/>
          <w:position w:val="1"/>
          <w:sz w:val="24"/>
          <w:szCs w:val="24"/>
        </w:rPr>
        <w:t>标人必须符合《</w:t>
      </w:r>
      <w:r>
        <w:rPr>
          <w:rFonts w:hint="eastAsia" w:ascii="宋体" w:hAnsi="宋体" w:eastAsia="宋体" w:cs="宋体"/>
          <w:spacing w:val="8"/>
          <w:position w:val="1"/>
          <w:sz w:val="24"/>
          <w:szCs w:val="24"/>
          <w:lang w:eastAsia="zh-CN"/>
        </w:rPr>
        <w:t>政府采购法</w:t>
      </w:r>
      <w:r>
        <w:rPr>
          <w:rFonts w:hint="eastAsia" w:ascii="宋体" w:hAnsi="宋体" w:eastAsia="宋体" w:cs="宋体"/>
          <w:spacing w:val="8"/>
          <w:position w:val="1"/>
          <w:sz w:val="24"/>
          <w:szCs w:val="24"/>
        </w:rPr>
        <w:t>》第二十二条规定：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①在中华人民共和国境内注册，具有营业执照、税务登记证、组织机构代码证或企业“三证合一”只需提供营业执照复印件并加盖公章；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②近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年内任意一个月缴纳税收的有效票据凭证 (复印件加盖公章)；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③近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年内任意一个月缴纳社保资金的有效票据凭证 (复印件加盖公章)；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④具有履行合同所必需的设备和专业技术能力；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⑤参加采购活动前三年内，经营活动中没有重大违法记录的书面声明；</w:t>
      </w:r>
    </w:p>
    <w:p>
      <w:pPr>
        <w:keepNext w:val="0"/>
        <w:keepLines w:val="0"/>
        <w:pageBreakBefore w:val="0"/>
        <w:widowControl/>
        <w:tabs>
          <w:tab w:val="left" w:pos="138"/>
        </w:tabs>
        <w:kinsoku/>
        <w:wordWrap/>
        <w:overflowPunct w:val="0"/>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w:t>
      </w:r>
      <w:r>
        <w:rPr>
          <w:rFonts w:hint="eastAsia" w:ascii="宋体" w:hAnsi="宋体" w:eastAsia="宋体" w:cs="宋体"/>
          <w:spacing w:val="12"/>
          <w:sz w:val="24"/>
          <w:szCs w:val="24"/>
        </w:rPr>
        <w:t>投标人未被列入“信用中国”网站(</w:t>
      </w:r>
      <w:r>
        <w:rPr>
          <w:rFonts w:hint="eastAsia" w:ascii="宋体" w:hAnsi="宋体" w:eastAsia="宋体" w:cs="宋体"/>
          <w:sz w:val="24"/>
          <w:szCs w:val="24"/>
        </w:rPr>
        <w:t>www</w:t>
      </w:r>
      <w:r>
        <w:rPr>
          <w:rFonts w:hint="eastAsia" w:ascii="宋体" w:hAnsi="宋体" w:eastAsia="宋体" w:cs="宋体"/>
          <w:spacing w:val="12"/>
          <w:sz w:val="24"/>
          <w:szCs w:val="24"/>
        </w:rPr>
        <w:t>.</w:t>
      </w:r>
      <w:r>
        <w:rPr>
          <w:rFonts w:hint="eastAsia" w:ascii="宋体" w:hAnsi="宋体" w:eastAsia="宋体" w:cs="宋体"/>
          <w:sz w:val="24"/>
          <w:szCs w:val="24"/>
        </w:rPr>
        <w:t>creditchina</w:t>
      </w:r>
      <w:r>
        <w:rPr>
          <w:rFonts w:hint="eastAsia" w:ascii="宋体" w:hAnsi="宋体" w:eastAsia="宋体" w:cs="宋体"/>
          <w:spacing w:val="12"/>
          <w:sz w:val="24"/>
          <w:szCs w:val="24"/>
        </w:rPr>
        <w:t>.</w:t>
      </w:r>
      <w:r>
        <w:rPr>
          <w:rFonts w:hint="eastAsia" w:ascii="宋体" w:hAnsi="宋体" w:eastAsia="宋体" w:cs="宋体"/>
          <w:sz w:val="24"/>
          <w:szCs w:val="24"/>
        </w:rPr>
        <w:t>gov</w:t>
      </w:r>
      <w:r>
        <w:rPr>
          <w:rFonts w:hint="eastAsia" w:ascii="宋体" w:hAnsi="宋体" w:eastAsia="宋体" w:cs="宋体"/>
          <w:spacing w:val="12"/>
          <w:sz w:val="24"/>
          <w:szCs w:val="24"/>
        </w:rPr>
        <w:t>.</w:t>
      </w:r>
      <w:r>
        <w:rPr>
          <w:rFonts w:hint="eastAsia" w:ascii="宋体" w:hAnsi="宋体" w:eastAsia="宋体" w:cs="宋体"/>
          <w:sz w:val="24"/>
          <w:szCs w:val="24"/>
        </w:rPr>
        <w:t>cn</w:t>
      </w:r>
      <w:r>
        <w:rPr>
          <w:rFonts w:hint="eastAsia" w:ascii="宋体" w:hAnsi="宋体" w:eastAsia="宋体" w:cs="宋体"/>
          <w:spacing w:val="12"/>
          <w:sz w:val="24"/>
          <w:szCs w:val="24"/>
        </w:rPr>
        <w:t>)记录失信被执行人或重</w:t>
      </w:r>
      <w:r>
        <w:rPr>
          <w:rFonts w:hint="eastAsia" w:ascii="宋体" w:hAnsi="宋体" w:eastAsia="宋体" w:cs="宋体"/>
          <w:spacing w:val="26"/>
          <w:sz w:val="24"/>
          <w:szCs w:val="24"/>
        </w:rPr>
        <w:t>大</w:t>
      </w:r>
      <w:r>
        <w:rPr>
          <w:rFonts w:hint="eastAsia" w:ascii="宋体" w:hAnsi="宋体" w:eastAsia="宋体" w:cs="宋体"/>
          <w:spacing w:val="16"/>
          <w:sz w:val="24"/>
          <w:szCs w:val="24"/>
        </w:rPr>
        <w:t>税</w:t>
      </w:r>
      <w:r>
        <w:rPr>
          <w:rFonts w:hint="eastAsia" w:ascii="宋体" w:hAnsi="宋体" w:eastAsia="宋体" w:cs="宋体"/>
          <w:spacing w:val="13"/>
          <w:sz w:val="24"/>
          <w:szCs w:val="24"/>
        </w:rPr>
        <w:t>收违法案件当事人名单或政府采购严重违法失信行为记录名单；不处于中国政府采购网</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3、依法需经批准的需提供相应的资质资料；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4</w:t>
      </w:r>
      <w:r>
        <w:rPr>
          <w:rFonts w:hint="eastAsia" w:ascii="宋体" w:hAnsi="宋体" w:eastAsia="宋体" w:cs="宋体"/>
          <w:spacing w:val="8"/>
          <w:position w:val="1"/>
          <w:sz w:val="24"/>
          <w:szCs w:val="24"/>
        </w:rPr>
        <w:t>、本项目</w:t>
      </w:r>
      <w:r>
        <w:rPr>
          <w:rFonts w:hint="eastAsia" w:ascii="宋体" w:hAnsi="宋体" w:eastAsia="宋体" w:cs="宋体"/>
          <w:spacing w:val="8"/>
          <w:position w:val="1"/>
          <w:sz w:val="24"/>
          <w:szCs w:val="24"/>
          <w:lang w:val="en-US" w:eastAsia="zh-CN"/>
        </w:rPr>
        <w:t>不</w:t>
      </w:r>
      <w:r>
        <w:rPr>
          <w:rFonts w:hint="eastAsia" w:ascii="宋体" w:hAnsi="宋体" w:eastAsia="宋体" w:cs="宋体"/>
          <w:spacing w:val="8"/>
          <w:position w:val="1"/>
          <w:sz w:val="24"/>
          <w:szCs w:val="24"/>
        </w:rPr>
        <w:t>接受联合体投标</w:t>
      </w:r>
      <w:r>
        <w:rPr>
          <w:rFonts w:hint="eastAsia" w:ascii="宋体" w:hAnsi="宋体" w:eastAsia="宋体" w:cs="宋体"/>
          <w:spacing w:val="6"/>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t>五</w:t>
      </w:r>
      <w:r>
        <w:rPr>
          <w:rFonts w:hint="eastAsia" w:ascii="宋体" w:hAnsi="宋体" w:eastAsia="宋体" w:cs="宋体"/>
          <w:spacing w:val="12"/>
          <w:sz w:val="24"/>
          <w:szCs w:val="24"/>
          <w14:textOutline w14:w="4358" w14:cap="sq" w14:cmpd="sng">
            <w14:solidFill>
              <w14:srgbClr w14:val="000000"/>
            </w14:solidFill>
            <w14:prstDash w14:val="solid"/>
            <w14:bevel/>
          </w14:textOutline>
        </w:rPr>
        <w:t>、磋商文件获取时间、地点：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磋</w:t>
      </w:r>
      <w:r>
        <w:rPr>
          <w:rFonts w:hint="eastAsia" w:ascii="宋体" w:hAnsi="宋体" w:eastAsia="宋体" w:cs="宋体"/>
          <w:spacing w:val="20"/>
          <w:sz w:val="24"/>
          <w:szCs w:val="24"/>
          <w:highlight w:val="none"/>
        </w:rPr>
        <w:t>商</w:t>
      </w:r>
      <w:r>
        <w:rPr>
          <w:rFonts w:hint="eastAsia" w:ascii="宋体" w:hAnsi="宋体" w:eastAsia="宋体" w:cs="宋体"/>
          <w:spacing w:val="12"/>
          <w:sz w:val="24"/>
          <w:szCs w:val="24"/>
          <w:highlight w:val="none"/>
        </w:rPr>
        <w:t>文件自2023年</w:t>
      </w:r>
      <w:r>
        <w:rPr>
          <w:rFonts w:hint="eastAsia" w:ascii="宋体" w:hAnsi="宋体" w:eastAsia="宋体" w:cs="宋体"/>
          <w:spacing w:val="12"/>
          <w:sz w:val="24"/>
          <w:szCs w:val="24"/>
          <w:highlight w:val="none"/>
          <w:lang w:val="en-US" w:eastAsia="zh-CN"/>
        </w:rPr>
        <w:t>12</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4</w:t>
      </w:r>
      <w:r>
        <w:rPr>
          <w:rFonts w:hint="eastAsia" w:ascii="宋体" w:hAnsi="宋体" w:eastAsia="宋体" w:cs="宋体"/>
          <w:spacing w:val="12"/>
          <w:sz w:val="24"/>
          <w:szCs w:val="24"/>
          <w:highlight w:val="none"/>
        </w:rPr>
        <w:t>日至2023年</w:t>
      </w:r>
      <w:r>
        <w:rPr>
          <w:rFonts w:hint="eastAsia" w:ascii="宋体" w:hAnsi="宋体" w:eastAsia="宋体" w:cs="宋体"/>
          <w:spacing w:val="12"/>
          <w:sz w:val="24"/>
          <w:szCs w:val="24"/>
          <w:highlight w:val="none"/>
          <w:lang w:val="en-US" w:eastAsia="zh-CN"/>
        </w:rPr>
        <w:t>12</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10</w:t>
      </w:r>
      <w:r>
        <w:rPr>
          <w:rFonts w:hint="eastAsia" w:ascii="宋体" w:hAnsi="宋体" w:eastAsia="宋体" w:cs="宋体"/>
          <w:spacing w:val="12"/>
          <w:sz w:val="24"/>
          <w:szCs w:val="24"/>
          <w:highlight w:val="none"/>
        </w:rPr>
        <w:t>日在</w:t>
      </w:r>
      <w:r>
        <w:rPr>
          <w:rFonts w:hint="eastAsia" w:ascii="宋体" w:hAnsi="宋体" w:eastAsia="宋体" w:cs="宋体"/>
          <w:strike w:val="0"/>
          <w:dstrike w:val="0"/>
          <w:spacing w:val="12"/>
          <w:sz w:val="24"/>
          <w:szCs w:val="24"/>
          <w:highlight w:val="none"/>
          <w:lang w:val="en-US" w:eastAsia="zh-CN"/>
        </w:rPr>
        <w:t>川楚联合国际工程有限公司官</w:t>
      </w:r>
      <w:r>
        <w:rPr>
          <w:rFonts w:hint="eastAsia" w:ascii="宋体" w:hAnsi="宋体" w:eastAsia="宋体" w:cs="宋体"/>
          <w:strike w:val="0"/>
          <w:dstrike w:val="0"/>
          <w:spacing w:val="10"/>
          <w:sz w:val="24"/>
          <w:szCs w:val="24"/>
          <w:highlight w:val="none"/>
        </w:rPr>
        <w:t>网(网址</w:t>
      </w:r>
      <w:r>
        <w:rPr>
          <w:rFonts w:hint="eastAsia" w:ascii="宋体" w:hAnsi="宋体" w:eastAsia="宋体" w:cs="宋体"/>
          <w:strike w:val="0"/>
          <w:dstrike w:val="0"/>
          <w:sz w:val="24"/>
          <w:szCs w:val="24"/>
          <w:highlight w:val="none"/>
        </w:rPr>
        <w:t>http</w:t>
      </w:r>
      <w:r>
        <w:rPr>
          <w:rFonts w:hint="eastAsia" w:ascii="宋体" w:hAnsi="宋体" w:eastAsia="宋体" w:cs="宋体"/>
          <w:strike w:val="0"/>
          <w:dstrike w:val="0"/>
          <w:sz w:val="24"/>
          <w:szCs w:val="24"/>
          <w:highlight w:val="none"/>
          <w:lang w:val="en-US" w:eastAsia="zh-CN"/>
        </w:rPr>
        <w:t>s</w:t>
      </w:r>
      <w:r>
        <w:rPr>
          <w:rFonts w:hint="eastAsia" w:ascii="宋体" w:hAnsi="宋体" w:eastAsia="宋体" w:cs="宋体"/>
          <w:strike w:val="0"/>
          <w:dstrike w:val="0"/>
          <w:spacing w:val="10"/>
          <w:sz w:val="24"/>
          <w:szCs w:val="24"/>
          <w:highlight w:val="none"/>
        </w:rPr>
        <w:t>://</w:t>
      </w:r>
      <w:r>
        <w:rPr>
          <w:rFonts w:hint="eastAsia" w:ascii="宋体" w:hAnsi="宋体" w:eastAsia="宋体" w:cs="宋体"/>
          <w:strike w:val="0"/>
          <w:dstrike w:val="0"/>
          <w:spacing w:val="10"/>
          <w:sz w:val="24"/>
          <w:szCs w:val="24"/>
          <w:highlight w:val="none"/>
          <w:lang w:val="en-US" w:eastAsia="zh-CN"/>
        </w:rPr>
        <w:t>www.ccunin.com</w:t>
      </w:r>
      <w:r>
        <w:rPr>
          <w:rFonts w:hint="eastAsia" w:ascii="宋体" w:hAnsi="宋体" w:eastAsia="宋体" w:cs="宋体"/>
          <w:strike w:val="0"/>
          <w:dstrike w:val="0"/>
          <w:spacing w:val="10"/>
          <w:sz w:val="24"/>
          <w:szCs w:val="24"/>
          <w:highlight w:val="none"/>
        </w:rPr>
        <w:t>)在线免费获得</w:t>
      </w:r>
      <w:r>
        <w:rPr>
          <w:rFonts w:hint="eastAsia" w:ascii="宋体" w:hAnsi="宋体" w:eastAsia="宋体" w:cs="宋体"/>
          <w:strike w:val="0"/>
          <w:spacing w:val="1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社</w:t>
      </w:r>
      <w:r>
        <w:rPr>
          <w:rFonts w:hint="eastAsia" w:ascii="宋体" w:hAnsi="宋体" w:eastAsia="宋体" w:cs="宋体"/>
          <w:spacing w:val="20"/>
          <w:sz w:val="24"/>
          <w:szCs w:val="24"/>
          <w:highlight w:val="none"/>
        </w:rPr>
        <w:t>会</w:t>
      </w:r>
      <w:r>
        <w:rPr>
          <w:rFonts w:hint="eastAsia" w:ascii="宋体" w:hAnsi="宋体" w:eastAsia="宋体" w:cs="宋体"/>
          <w:spacing w:val="13"/>
          <w:sz w:val="24"/>
          <w:szCs w:val="24"/>
          <w:highlight w:val="none"/>
        </w:rPr>
        <w:t>公众可通过</w:t>
      </w:r>
      <w:r>
        <w:rPr>
          <w:rFonts w:hint="eastAsia" w:ascii="宋体" w:hAnsi="宋体" w:eastAsia="宋体" w:cs="宋体"/>
          <w:spacing w:val="12"/>
          <w:sz w:val="24"/>
          <w:szCs w:val="24"/>
          <w:highlight w:val="none"/>
          <w:lang w:val="en-US" w:eastAsia="zh-CN"/>
        </w:rPr>
        <w:t>川楚联合国际工程有限公司官</w:t>
      </w:r>
      <w:r>
        <w:rPr>
          <w:rFonts w:hint="eastAsia" w:ascii="宋体" w:hAnsi="宋体" w:eastAsia="宋体" w:cs="宋体"/>
          <w:spacing w:val="10"/>
          <w:sz w:val="24"/>
          <w:szCs w:val="24"/>
          <w:highlight w:val="none"/>
        </w:rPr>
        <w:t>网</w:t>
      </w:r>
      <w:r>
        <w:rPr>
          <w:rFonts w:hint="eastAsia" w:ascii="宋体" w:hAnsi="宋体" w:eastAsia="宋体" w:cs="宋体"/>
          <w:spacing w:val="13"/>
          <w:sz w:val="24"/>
          <w:szCs w:val="24"/>
          <w:highlight w:val="none"/>
        </w:rPr>
        <w:t>免费下载或查阅招标磋商文件。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en-US" w:eastAsia="zh-CN"/>
          <w14:textOutline w14:w="4358" w14:cap="sq" w14:cmpd="sng">
            <w14:solidFill>
              <w14:srgbClr w14:val="000000"/>
            </w14:solidFill>
            <w14:prstDash w14:val="solid"/>
            <w14:bevel/>
          </w14:textOutline>
        </w:rPr>
        <w:t>六</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、公告期限：</w:t>
      </w:r>
      <w:r>
        <w:rPr>
          <w:rFonts w:hint="eastAsia" w:ascii="宋体" w:hAnsi="宋体" w:eastAsia="宋体" w:cs="宋体"/>
          <w:spacing w:val="12"/>
          <w:sz w:val="24"/>
          <w:szCs w:val="24"/>
          <w:highlight w:val="none"/>
          <w:lang w:val="en-US" w:eastAsia="zh-CN"/>
        </w:rPr>
        <w:t>七个工作日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七</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、磋商响应文件递交截止时间：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default" w:ascii="宋体" w:hAnsi="宋体" w:eastAsia="宋体" w:cs="宋体"/>
          <w:sz w:val="24"/>
          <w:szCs w:val="24"/>
          <w:highlight w:val="yellow"/>
          <w:lang w:val="en-US" w:eastAsia="zh-CN"/>
        </w:rPr>
      </w:pPr>
      <w:r>
        <w:rPr>
          <w:rFonts w:hint="eastAsia" w:ascii="宋体" w:hAnsi="宋体" w:eastAsia="宋体" w:cs="宋体"/>
          <w:spacing w:val="8"/>
          <w:position w:val="1"/>
          <w:sz w:val="24"/>
          <w:szCs w:val="24"/>
        </w:rPr>
        <w:t>响应文件于 2023年</w:t>
      </w:r>
      <w:r>
        <w:rPr>
          <w:rFonts w:hint="eastAsia" w:ascii="宋体" w:hAnsi="宋体" w:eastAsia="宋体" w:cs="宋体"/>
          <w:spacing w:val="8"/>
          <w:position w:val="1"/>
          <w:sz w:val="24"/>
          <w:szCs w:val="24"/>
          <w:lang w:val="en-US" w:eastAsia="zh-CN"/>
        </w:rPr>
        <w:t>12</w:t>
      </w:r>
      <w:r>
        <w:rPr>
          <w:rFonts w:hint="eastAsia" w:ascii="宋体" w:hAnsi="宋体" w:eastAsia="宋体" w:cs="宋体"/>
          <w:spacing w:val="8"/>
          <w:position w:val="1"/>
          <w:sz w:val="24"/>
          <w:szCs w:val="24"/>
        </w:rPr>
        <w:t>月</w:t>
      </w:r>
      <w:r>
        <w:rPr>
          <w:rFonts w:hint="eastAsia" w:ascii="宋体" w:hAnsi="宋体" w:eastAsia="宋体" w:cs="宋体"/>
          <w:spacing w:val="8"/>
          <w:position w:val="1"/>
          <w:sz w:val="24"/>
          <w:szCs w:val="24"/>
          <w:lang w:val="en-US" w:eastAsia="zh-CN"/>
        </w:rPr>
        <w:t>12</w:t>
      </w:r>
      <w:r>
        <w:rPr>
          <w:rFonts w:hint="eastAsia" w:ascii="宋体" w:hAnsi="宋体" w:eastAsia="宋体" w:cs="宋体"/>
          <w:spacing w:val="8"/>
          <w:position w:val="1"/>
          <w:sz w:val="24"/>
          <w:szCs w:val="24"/>
        </w:rPr>
        <w:t>日 09:</w:t>
      </w:r>
      <w:r>
        <w:rPr>
          <w:rFonts w:hint="eastAsia" w:ascii="宋体" w:hAnsi="宋体" w:eastAsia="宋体" w:cs="宋体"/>
          <w:spacing w:val="8"/>
          <w:position w:val="1"/>
          <w:sz w:val="24"/>
          <w:szCs w:val="24"/>
          <w:lang w:val="en-US" w:eastAsia="zh-CN"/>
        </w:rPr>
        <w:t>3</w:t>
      </w:r>
      <w:r>
        <w:rPr>
          <w:rFonts w:hint="eastAsia" w:ascii="宋体" w:hAnsi="宋体" w:eastAsia="宋体" w:cs="宋体"/>
          <w:spacing w:val="8"/>
          <w:position w:val="1"/>
          <w:sz w:val="24"/>
          <w:szCs w:val="24"/>
        </w:rPr>
        <w:t>0 分之前提交到</w:t>
      </w:r>
      <w:r>
        <w:rPr>
          <w:rFonts w:hint="eastAsia" w:ascii="宋体" w:hAnsi="宋体" w:eastAsia="宋体" w:cs="宋体"/>
          <w:spacing w:val="8"/>
          <w:position w:val="1"/>
          <w:sz w:val="24"/>
          <w:szCs w:val="24"/>
          <w:lang w:val="en-US" w:eastAsia="zh-CN"/>
        </w:rPr>
        <w:t>甘肃省临夏州临夏县黄泥湾镇十五里铺村，</w:t>
      </w:r>
      <w:r>
        <w:rPr>
          <w:rFonts w:hint="eastAsia" w:ascii="宋体" w:hAnsi="宋体" w:eastAsia="宋体" w:cs="宋体"/>
          <w:spacing w:val="8"/>
          <w:position w:val="1"/>
          <w:sz w:val="24"/>
          <w:szCs w:val="24"/>
        </w:rPr>
        <w:t>惠发（临夏州）食品供应链科技有限公司</w:t>
      </w:r>
      <w:r>
        <w:rPr>
          <w:rFonts w:hint="eastAsia" w:ascii="宋体" w:hAnsi="宋体" w:eastAsia="宋体" w:cs="宋体"/>
          <w:spacing w:val="8"/>
          <w:position w:val="1"/>
          <w:sz w:val="24"/>
          <w:szCs w:val="24"/>
          <w:lang w:val="en-US" w:eastAsia="zh-CN"/>
        </w:rPr>
        <w:t>二楼会议室。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、磋商时间和地点：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1、磋商时间：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2023年</w:t>
      </w:r>
      <w:r>
        <w:rPr>
          <w:rFonts w:hint="eastAsia" w:ascii="宋体" w:hAnsi="宋体" w:eastAsia="宋体" w:cs="宋体"/>
          <w:spacing w:val="12"/>
          <w:sz w:val="24"/>
          <w:szCs w:val="24"/>
          <w:highlight w:val="none"/>
          <w:lang w:val="en-US" w:eastAsia="zh-CN"/>
        </w:rPr>
        <w:t>12</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12</w:t>
      </w:r>
      <w:r>
        <w:rPr>
          <w:rFonts w:hint="eastAsia" w:ascii="宋体" w:hAnsi="宋体" w:eastAsia="宋体" w:cs="宋体"/>
          <w:spacing w:val="12"/>
          <w:sz w:val="24"/>
          <w:szCs w:val="24"/>
          <w:highlight w:val="none"/>
        </w:rPr>
        <w:t>日</w:t>
      </w:r>
      <w:r>
        <w:rPr>
          <w:rFonts w:hint="eastAsia" w:ascii="宋体" w:hAnsi="宋体" w:eastAsia="宋体" w:cs="宋体"/>
          <w:spacing w:val="-11"/>
          <w:sz w:val="24"/>
          <w:szCs w:val="24"/>
          <w:highlight w:val="none"/>
        </w:rPr>
        <w:t xml:space="preserve"> 09 时 </w:t>
      </w:r>
      <w:r>
        <w:rPr>
          <w:rFonts w:hint="eastAsia" w:ascii="宋体" w:hAnsi="宋体" w:eastAsia="宋体" w:cs="宋体"/>
          <w:spacing w:val="-11"/>
          <w:sz w:val="24"/>
          <w:szCs w:val="24"/>
          <w:highlight w:val="none"/>
          <w:lang w:val="en-US" w:eastAsia="zh-CN"/>
        </w:rPr>
        <w:t>3</w:t>
      </w:r>
      <w:r>
        <w:rPr>
          <w:rFonts w:hint="eastAsia" w:ascii="宋体" w:hAnsi="宋体" w:eastAsia="宋体" w:cs="宋体"/>
          <w:spacing w:val="-11"/>
          <w:sz w:val="24"/>
          <w:szCs w:val="24"/>
          <w:highlight w:val="none"/>
        </w:rPr>
        <w:t>0 分 (北京时间)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磋商地点：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甘肃省临夏州临夏县黄泥湾镇十五里铺村，</w:t>
      </w:r>
      <w:r>
        <w:rPr>
          <w:rFonts w:hint="eastAsia" w:ascii="宋体" w:hAnsi="宋体" w:eastAsia="宋体" w:cs="宋体"/>
          <w:spacing w:val="8"/>
          <w:position w:val="1"/>
          <w:sz w:val="24"/>
          <w:szCs w:val="24"/>
        </w:rPr>
        <w:t>惠发（临夏州）食品供应链科技有限公司</w:t>
      </w:r>
      <w:r>
        <w:rPr>
          <w:rFonts w:hint="eastAsia" w:ascii="宋体" w:hAnsi="宋体" w:eastAsia="宋体" w:cs="宋体"/>
          <w:spacing w:val="8"/>
          <w:position w:val="1"/>
          <w:sz w:val="24"/>
          <w:szCs w:val="24"/>
          <w:lang w:val="en-US" w:eastAsia="zh-CN"/>
        </w:rPr>
        <w:t>二楼会议室。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九</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、联系人姓名及电话：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联系人：</w:t>
      </w:r>
      <w:r>
        <w:rPr>
          <w:rFonts w:hint="eastAsia" w:ascii="宋体" w:hAnsi="宋体" w:eastAsia="宋体" w:cs="宋体"/>
          <w:spacing w:val="14"/>
          <w:sz w:val="24"/>
          <w:szCs w:val="24"/>
          <w:highlight w:val="none"/>
          <w:lang w:val="en-US" w:eastAsia="zh-CN"/>
        </w:rPr>
        <w:t>孔浩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联系电话:</w:t>
      </w:r>
      <w:r>
        <w:rPr>
          <w:rFonts w:hint="eastAsia" w:ascii="宋体" w:hAnsi="宋体" w:eastAsia="宋体" w:cs="宋体"/>
          <w:spacing w:val="14"/>
          <w:sz w:val="24"/>
          <w:szCs w:val="24"/>
          <w:highlight w:val="none"/>
          <w:lang w:val="en-US" w:eastAsia="zh-CN"/>
        </w:rPr>
        <w:t>13980864509</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75" w:line="382" w:lineRule="auto"/>
        <w:ind w:right="266"/>
        <w:jc w:val="right"/>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川楚联合国际工程有限公司</w:t>
      </w:r>
    </w:p>
    <w:p>
      <w:pPr>
        <w:spacing w:before="75" w:line="382" w:lineRule="auto"/>
        <w:ind w:right="266"/>
        <w:jc w:val="right"/>
        <w:rPr>
          <w:highlight w:val="none"/>
        </w:rPr>
        <w:sectPr>
          <w:footerReference r:id="rId8" w:type="default"/>
          <w:pgSz w:w="11905" w:h="16838"/>
          <w:pgMar w:top="1440" w:right="1803" w:bottom="1440" w:left="1803" w:header="227" w:footer="283" w:gutter="0"/>
          <w:pgNumType w:fmt="decimal" w:start="1"/>
          <w:cols w:space="0" w:num="1"/>
          <w:rtlGutter w:val="0"/>
          <w:docGrid w:linePitch="0" w:charSpace="0"/>
        </w:sectPr>
      </w:pP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二</w:t>
      </w:r>
      <w:r>
        <w:rPr>
          <w:rFonts w:ascii="宋体" w:hAnsi="宋体" w:eastAsia="宋体" w:cs="宋体"/>
          <w:spacing w:val="8"/>
          <w:sz w:val="24"/>
          <w:szCs w:val="24"/>
          <w:highlight w:val="none"/>
        </w:rPr>
        <w:t>〇二三年</w:t>
      </w:r>
      <w:r>
        <w:rPr>
          <w:rFonts w:hint="eastAsia" w:ascii="宋体" w:hAnsi="宋体" w:eastAsia="宋体" w:cs="宋体"/>
          <w:spacing w:val="8"/>
          <w:sz w:val="24"/>
          <w:szCs w:val="24"/>
          <w:highlight w:val="none"/>
          <w:lang w:val="en-US" w:eastAsia="zh-CN"/>
        </w:rPr>
        <w:t>十二</w:t>
      </w:r>
      <w:r>
        <w:rPr>
          <w:rFonts w:ascii="宋体" w:hAnsi="宋体" w:eastAsia="宋体" w:cs="宋体"/>
          <w:spacing w:val="8"/>
          <w:sz w:val="24"/>
          <w:szCs w:val="24"/>
          <w:highlight w:val="none"/>
        </w:rPr>
        <w:t>月</w:t>
      </w:r>
    </w:p>
    <w:p>
      <w:pPr>
        <w:spacing w:before="315" w:line="360" w:lineRule="auto"/>
        <w:jc w:val="center"/>
        <w:outlineLvl w:val="0"/>
        <w:rPr>
          <w:rFonts w:ascii="宋体" w:hAnsi="宋体" w:eastAsia="宋体" w:cs="宋体"/>
          <w:sz w:val="40"/>
          <w:szCs w:val="40"/>
        </w:rPr>
      </w:pPr>
      <w:bookmarkStart w:id="1" w:name="_Toc18224"/>
      <w:r>
        <w:rPr>
          <w:rFonts w:ascii="宋体" w:hAnsi="宋体" w:eastAsia="宋体" w:cs="宋体"/>
          <w:spacing w:val="-1"/>
          <w:sz w:val="40"/>
          <w:szCs w:val="40"/>
          <w14:textOutline w14:w="7282" w14:cap="sq" w14:cmpd="sng">
            <w14:solidFill>
              <w14:srgbClr w14:val="000000"/>
            </w14:solidFill>
            <w14:prstDash w14:val="solid"/>
            <w14:bevel/>
          </w14:textOutline>
        </w:rPr>
        <w:t>第二章</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投标人须</w:t>
      </w:r>
      <w:r>
        <w:rPr>
          <w:rFonts w:ascii="宋体" w:hAnsi="宋体" w:eastAsia="宋体" w:cs="宋体"/>
          <w:sz w:val="40"/>
          <w:szCs w:val="40"/>
          <w14:textOutline w14:w="7282" w14:cap="sq" w14:cmpd="sng">
            <w14:solidFill>
              <w14:srgbClr w14:val="000000"/>
            </w14:solidFill>
            <w14:prstDash w14:val="solid"/>
            <w14:bevel/>
          </w14:textOutline>
        </w:rPr>
        <w:t>知</w:t>
      </w:r>
      <w:bookmarkEnd w:id="1"/>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一、磋商须知前附表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3"/>
        <w:gridCol w:w="159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条款号</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r>
              <w:rPr>
                <w:rStyle w:val="26"/>
                <w:rFonts w:hint="eastAsia" w:ascii="宋体" w:hAnsi="宋体" w:eastAsia="宋体" w:cs="宋体"/>
                <w:sz w:val="24"/>
                <w:szCs w:val="24"/>
                <w:lang w:val="en-US" w:eastAsia="zh-CN" w:bidi="ar"/>
              </w:rPr>
              <w:t>款名称</w:t>
            </w:r>
          </w:p>
        </w:tc>
        <w:tc>
          <w:tcPr>
            <w:tcW w:w="3389"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w:t>
            </w:r>
            <w:r>
              <w:rPr>
                <w:rStyle w:val="26"/>
                <w:rFonts w:hint="eastAsia" w:ascii="宋体" w:hAnsi="宋体" w:eastAsia="宋体" w:cs="宋体"/>
                <w:sz w:val="24"/>
                <w:szCs w:val="24"/>
                <w:lang w:val="en-US" w:eastAsia="zh-CN" w:bidi="ar"/>
              </w:rPr>
              <w:t>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Style w:val="26"/>
                <w:rFonts w:hint="eastAsia" w:ascii="宋体" w:hAnsi="宋体" w:eastAsia="宋体" w:cs="宋体"/>
                <w:sz w:val="24"/>
                <w:szCs w:val="24"/>
                <w:lang w:val="en-US" w:eastAsia="zh-CN" w:bidi="ar"/>
              </w:rPr>
              <w:t>目名称</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清真牛羊肉精深加工与清真预制菜加工项目-</w:t>
            </w:r>
            <w:r>
              <w:rPr>
                <w:rFonts w:hint="eastAsia" w:ascii="宋体" w:hAnsi="宋体" w:eastAsia="宋体" w:cs="宋体"/>
                <w:i w:val="0"/>
                <w:iCs w:val="0"/>
                <w:color w:val="000000"/>
                <w:sz w:val="24"/>
                <w:szCs w:val="24"/>
                <w:u w:val="none"/>
                <w:lang w:eastAsia="zh-CN"/>
              </w:rPr>
              <w:t>污水处理</w:t>
            </w:r>
            <w:r>
              <w:rPr>
                <w:rFonts w:hint="eastAsia" w:ascii="宋体" w:hAnsi="宋体" w:eastAsia="宋体" w:cs="宋体"/>
                <w:i w:val="0"/>
                <w:iCs w:val="0"/>
                <w:color w:val="000000"/>
                <w:sz w:val="24"/>
                <w:szCs w:val="24"/>
                <w:u w:val="none"/>
              </w:rPr>
              <w:t>成套设备工程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8" w:type="pct"/>
            <w:shd w:val="clear" w:color="auto" w:fill="auto"/>
            <w:vAlign w:val="center"/>
          </w:tcPr>
          <w:p>
            <w:pPr>
              <w:keepNext w:val="0"/>
              <w:keepLines w:val="0"/>
              <w:widowControl/>
              <w:suppressLineNumbers w:val="0"/>
              <w:spacing w:line="360" w:lineRule="auto"/>
              <w:jc w:val="center"/>
              <w:textAlignment w:val="center"/>
              <w:rPr>
                <w:rStyle w:val="2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招</w:t>
            </w:r>
            <w:r>
              <w:rPr>
                <w:rStyle w:val="26"/>
                <w:rFonts w:hint="eastAsia" w:ascii="宋体" w:hAnsi="宋体" w:eastAsia="宋体" w:cs="宋体"/>
                <w:sz w:val="24"/>
                <w:szCs w:val="24"/>
                <w:lang w:val="en-US" w:eastAsia="zh-CN" w:bidi="ar"/>
              </w:rPr>
              <w:t>标文件</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26"/>
                <w:rFonts w:hint="eastAsia" w:ascii="宋体" w:hAnsi="宋体" w:eastAsia="宋体" w:cs="宋体"/>
                <w:sz w:val="24"/>
                <w:szCs w:val="24"/>
                <w:lang w:val="en-US" w:eastAsia="zh-CN" w:bidi="ar"/>
              </w:rPr>
              <w:t>编号</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2023CCINCG006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26"/>
                <w:rFonts w:hint="eastAsia" w:ascii="宋体" w:hAnsi="宋体" w:eastAsia="宋体" w:cs="宋体"/>
                <w:sz w:val="24"/>
                <w:szCs w:val="24"/>
                <w:lang w:val="en-US" w:eastAsia="zh-CN" w:bidi="ar"/>
              </w:rPr>
              <w:t>购方式</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w:t>
            </w:r>
            <w:r>
              <w:rPr>
                <w:rStyle w:val="26"/>
                <w:rFonts w:hint="eastAsia" w:ascii="宋体" w:hAnsi="宋体" w:eastAsia="宋体" w:cs="宋体"/>
                <w:sz w:val="24"/>
                <w:szCs w:val="24"/>
                <w:lang w:val="en-US" w:eastAsia="zh-CN" w:bidi="ar"/>
              </w:rPr>
              <w:t>开（邀请）招标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6"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26"/>
                <w:rFonts w:hint="eastAsia" w:ascii="宋体" w:hAnsi="宋体" w:eastAsia="宋体" w:cs="宋体"/>
                <w:sz w:val="24"/>
                <w:szCs w:val="24"/>
                <w:lang w:val="en-US" w:eastAsia="zh-CN" w:bidi="ar"/>
              </w:rPr>
              <w:t>购人</w:t>
            </w:r>
          </w:p>
        </w:tc>
        <w:tc>
          <w:tcPr>
            <w:tcW w:w="338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联系人：</w:t>
            </w:r>
            <w:r>
              <w:rPr>
                <w:rFonts w:hint="eastAsia" w:ascii="宋体" w:hAnsi="宋体" w:eastAsia="宋体" w:cs="宋体"/>
                <w:spacing w:val="14"/>
                <w:sz w:val="24"/>
                <w:szCs w:val="24"/>
                <w:highlight w:val="none"/>
                <w:lang w:val="en-US" w:eastAsia="zh-CN"/>
              </w:rPr>
              <w:t>孔浩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i w:val="0"/>
                <w:iCs w:val="0"/>
                <w:color w:val="000000"/>
                <w:sz w:val="24"/>
                <w:szCs w:val="24"/>
                <w:u w:val="none"/>
              </w:rPr>
            </w:pPr>
            <w:r>
              <w:rPr>
                <w:rFonts w:hint="eastAsia" w:ascii="宋体" w:hAnsi="宋体" w:eastAsia="宋体" w:cs="宋体"/>
                <w:spacing w:val="14"/>
                <w:sz w:val="24"/>
                <w:szCs w:val="24"/>
                <w:highlight w:val="none"/>
              </w:rPr>
              <w:t>联系电话:</w:t>
            </w:r>
            <w:r>
              <w:rPr>
                <w:rFonts w:hint="eastAsia" w:ascii="宋体" w:hAnsi="宋体" w:eastAsia="宋体" w:cs="宋体"/>
                <w:spacing w:val="14"/>
                <w:sz w:val="24"/>
                <w:szCs w:val="24"/>
                <w:highlight w:val="none"/>
                <w:lang w:val="en-US" w:eastAsia="zh-CN"/>
              </w:rPr>
              <w:t>13980864509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w:t>
            </w:r>
            <w:r>
              <w:rPr>
                <w:rStyle w:val="26"/>
                <w:rFonts w:hint="eastAsia" w:ascii="宋体" w:hAnsi="宋体" w:eastAsia="宋体" w:cs="宋体"/>
                <w:sz w:val="24"/>
                <w:szCs w:val="24"/>
                <w:lang w:val="en-US" w:eastAsia="zh-CN" w:bidi="ar"/>
              </w:rPr>
              <w:t>金来源</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项目资金和单位自有资金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建设地点</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甘肃省临夏州临夏县黄泥湾镇十五里铺村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招标范围</w:t>
            </w:r>
          </w:p>
        </w:tc>
        <w:tc>
          <w:tcPr>
            <w:tcW w:w="3389" w:type="pct"/>
            <w:shd w:val="clear" w:color="auto" w:fill="auto"/>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工期</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spacing w:val="26"/>
                <w:sz w:val="24"/>
                <w:szCs w:val="24"/>
                <w:highlight w:val="none"/>
              </w:rPr>
            </w:pPr>
            <w:r>
              <w:rPr>
                <w:rFonts w:hint="eastAsia" w:ascii="宋体" w:hAnsi="宋体" w:eastAsia="宋体" w:cs="宋体"/>
                <w:spacing w:val="26"/>
                <w:sz w:val="24"/>
                <w:szCs w:val="24"/>
                <w:highlight w:val="none"/>
                <w:lang w:val="en-US" w:eastAsia="zh-CN"/>
              </w:rPr>
              <w:t>中标</w:t>
            </w:r>
            <w:r>
              <w:rPr>
                <w:rFonts w:hint="eastAsia" w:ascii="宋体" w:hAnsi="宋体" w:eastAsia="宋体" w:cs="宋体"/>
                <w:spacing w:val="26"/>
                <w:sz w:val="24"/>
                <w:szCs w:val="24"/>
                <w:highlight w:val="none"/>
              </w:rPr>
              <w:t>生效</w:t>
            </w:r>
            <w:r>
              <w:rPr>
                <w:rFonts w:hint="eastAsia" w:ascii="宋体" w:hAnsi="宋体" w:eastAsia="宋体" w:cs="宋体"/>
                <w:spacing w:val="26"/>
                <w:sz w:val="24"/>
                <w:szCs w:val="24"/>
                <w:highlight w:val="none"/>
                <w:lang w:eastAsia="zh-CN"/>
              </w:rPr>
              <w:t>（</w:t>
            </w:r>
            <w:r>
              <w:rPr>
                <w:rFonts w:hint="eastAsia" w:ascii="宋体" w:hAnsi="宋体" w:eastAsia="宋体" w:cs="宋体"/>
                <w:spacing w:val="26"/>
                <w:sz w:val="24"/>
                <w:szCs w:val="24"/>
                <w:highlight w:val="none"/>
                <w:lang w:val="en-US" w:eastAsia="zh-CN"/>
              </w:rPr>
              <w:t>即甲方电子邮件、传真、微信、QQ发送的中标告知，一经发出即被视为已送达；书信于邮寄之日起第三日即被视为已送达</w:t>
            </w:r>
            <w:r>
              <w:rPr>
                <w:rFonts w:hint="eastAsia" w:ascii="宋体" w:hAnsi="宋体" w:eastAsia="宋体" w:cs="宋体"/>
                <w:spacing w:val="26"/>
                <w:sz w:val="24"/>
                <w:szCs w:val="24"/>
                <w:highlight w:val="none"/>
                <w:lang w:eastAsia="zh-CN"/>
              </w:rPr>
              <w:t>）</w:t>
            </w:r>
            <w:r>
              <w:rPr>
                <w:rFonts w:hint="eastAsia" w:ascii="宋体" w:hAnsi="宋体" w:eastAsia="宋体" w:cs="宋体"/>
                <w:spacing w:val="26"/>
                <w:sz w:val="24"/>
                <w:szCs w:val="24"/>
                <w:highlight w:val="none"/>
                <w:lang w:val="en-US" w:eastAsia="zh-CN"/>
              </w:rPr>
              <w:t>之日起</w:t>
            </w:r>
            <w:r>
              <w:rPr>
                <w:rFonts w:hint="eastAsia" w:ascii="宋体" w:hAnsi="宋体" w:eastAsia="宋体" w:cs="宋体"/>
                <w:spacing w:val="26"/>
                <w:sz w:val="24"/>
                <w:szCs w:val="24"/>
                <w:highlight w:val="none"/>
              </w:rPr>
              <w:t>30天内完成供货、安装及调试。</w:t>
            </w:r>
          </w:p>
          <w:p>
            <w:pPr>
              <w:pStyle w:val="7"/>
              <w:spacing w:line="360" w:lineRule="auto"/>
              <w:rPr>
                <w:rFonts w:hint="eastAsia"/>
                <w:highlight w:val="none"/>
                <w:lang w:val="en-US" w:eastAsia="zh-CN"/>
              </w:rPr>
            </w:pPr>
            <w:r>
              <w:rPr>
                <w:rFonts w:hint="eastAsia" w:ascii="宋体" w:hAnsi="宋体" w:eastAsia="宋体" w:cs="宋体"/>
                <w:snapToGrid w:val="0"/>
                <w:color w:val="000000"/>
                <w:spacing w:val="26"/>
                <w:kern w:val="0"/>
                <w:sz w:val="24"/>
                <w:szCs w:val="24"/>
                <w:highlight w:val="none"/>
                <w:lang w:val="en-US" w:eastAsia="zh-CN"/>
              </w:rPr>
              <w:t>质保期：二年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938"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报价要求</w:t>
            </w:r>
          </w:p>
        </w:tc>
        <w:tc>
          <w:tcPr>
            <w:tcW w:w="3389" w:type="pct"/>
            <w:shd w:val="clear" w:color="auto" w:fill="auto"/>
            <w:vAlign w:val="center"/>
          </w:tcPr>
          <w:p>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报价清单内将一层和二层分项报价汇总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38"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付款方式</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付款时间以及方式</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1、首笔款（预付款）：双方合同签订后，甲方支付合同总价款的15%。</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2、第二笔款（到货款）：乙方将合同约定的</w:t>
            </w:r>
            <w:r>
              <w:rPr>
                <w:rFonts w:hint="eastAsia" w:ascii="宋体" w:hAnsi="宋体" w:cs="Arial"/>
                <w:sz w:val="24"/>
                <w:szCs w:val="24"/>
              </w:rPr>
              <w:t>主要设备</w:t>
            </w:r>
            <w:r>
              <w:rPr>
                <w:rFonts w:hint="eastAsia" w:ascii="宋体" w:hAnsi="宋体" w:eastAsia="宋体" w:cs="Arial"/>
                <w:sz w:val="24"/>
                <w:szCs w:val="24"/>
                <w:lang w:val="en-US" w:eastAsia="zh-CN"/>
              </w:rPr>
              <w:t>及主材</w:t>
            </w:r>
            <w:r>
              <w:rPr>
                <w:rFonts w:hint="eastAsia" w:ascii="宋体" w:hAnsi="宋体" w:cs="Arial"/>
                <w:sz w:val="24"/>
                <w:szCs w:val="24"/>
              </w:rPr>
              <w:t>到场</w:t>
            </w:r>
            <w:r>
              <w:rPr>
                <w:rFonts w:hint="eastAsia" w:ascii="宋体" w:hAnsi="宋体" w:eastAsia="宋体" w:cs="宋体"/>
                <w:spacing w:val="26"/>
                <w:sz w:val="24"/>
                <w:szCs w:val="24"/>
                <w:highlight w:val="none"/>
                <w:lang w:val="en-US" w:eastAsia="zh-CN"/>
              </w:rPr>
              <w:t>送至甲方经营场地，且甲方已在开箱验收通过并出具书面验收文件，甲方支付合同总价款的25%。</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3、第三笔款（完工款）：乙方安装完毕并试运行合格后，甲方支付合同总价款的25%。</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4、第四笔款：整体项目通过业主及政府相关部门竣工验收合格且通过审计并取得审计报告后90天内，甲方支付合同总价款的30%。</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5、第五笔款（质保金）：合同总价款的5%为本合同的质保金，自整体项目通过业主及政府相关部门竣工验收合格后二年内，且设备系统整体运行正常甲方无息付清。</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spacing w:val="26"/>
                <w:sz w:val="24"/>
                <w:szCs w:val="24"/>
                <w:highlight w:val="yellow"/>
                <w:lang w:val="en-US" w:eastAsia="zh-CN"/>
              </w:rPr>
            </w:pPr>
            <w:r>
              <w:rPr>
                <w:rFonts w:hint="eastAsia" w:ascii="宋体" w:hAnsi="宋体" w:eastAsia="宋体" w:cs="宋体"/>
                <w:spacing w:val="26"/>
                <w:sz w:val="24"/>
                <w:szCs w:val="24"/>
                <w:highlight w:val="none"/>
                <w:lang w:val="en-US" w:eastAsia="zh-CN"/>
              </w:rPr>
              <w:t>6、上述款项支付前除第一笔15%预付款，乙方应提前向甲方开具相应金额的发票作为甲方的付款前提。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938"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发票要求</w:t>
            </w:r>
          </w:p>
        </w:tc>
        <w:tc>
          <w:tcPr>
            <w:tcW w:w="3389" w:type="pct"/>
            <w:shd w:val="clear" w:color="auto" w:fill="auto"/>
            <w:vAlign w:val="center"/>
          </w:tcPr>
          <w:p>
            <w:pPr>
              <w:keepNext w:val="0"/>
              <w:keepLines w:val="0"/>
              <w:widowControl/>
              <w:suppressLineNumbers w:val="0"/>
              <w:spacing w:line="360" w:lineRule="auto"/>
              <w:jc w:val="left"/>
              <w:textAlignment w:val="center"/>
              <w:rPr>
                <w:rFonts w:hint="default" w:ascii="宋体" w:hAnsi="宋体" w:eastAsia="宋体" w:cs="宋体"/>
                <w:spacing w:val="26"/>
                <w:sz w:val="24"/>
                <w:szCs w:val="24"/>
                <w:highlight w:val="none"/>
                <w:lang w:val="en-US" w:eastAsia="zh-CN"/>
              </w:rPr>
            </w:pPr>
            <w:r>
              <w:rPr>
                <w:rFonts w:hint="eastAsia" w:ascii="宋体" w:hAnsi="宋体" w:eastAsia="宋体" w:cs="宋体"/>
                <w:spacing w:val="26"/>
                <w:sz w:val="24"/>
                <w:szCs w:val="24"/>
                <w:highlight w:val="none"/>
                <w:lang w:val="en-US" w:eastAsia="zh-CN"/>
              </w:rPr>
              <w:t>增值税专用发票/税点：13%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38"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1.投标报价：本项目为目的地交货。各投标方以总价投标，并列出各分项报价。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投标报价还应包含相关图纸资料、安装、报验、调试、技术支持、培训等为完成项目通过验收交付招标方使用的全部工作费用及其它相关附加工作，缺项或漏报的项目均认为已含在投标报价中。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3.设备采用的专利涉及到的全部费用均被认为已包含在设备报价中,投标方应保证招标方不承担有关设备专利的一切责任。</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4、中标方对设备在交付给招标方使用前的安全工作负责。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5.投标方要仔细阅读招标文件并认真考察现场实际情况，投标报价要综合考虑，中标后不予追加。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6.投标人应提供备品、备件、易损易耗件（含报价，该报价计入投标总价）清单。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资格审查投标人资质</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1、投标人必须符合《政府采购法》第二十二条规定：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①在中华人民共和国境内注册，具有营业执照、税务登记证、组织机构代码证或企业 “三证合一”只需提供营业执照复印件并加盖公章；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②近一年内任意一个月缴纳税收的有效票据凭证 (复印件加盖公章)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③近一年内任意一个月缴纳社保资金的有效票据凭证 (复印件加盖公章)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④具有履行合同所必需的设备和专业技术能力；</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⑤参加采购活动前三年内，经营活动中没有重大违法记录的书面声明；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 可参加本项目的投标。(以磋商公告发出之日起至磋商截止时间之日止在“信用中国”网站(www.creditchina.gov.cn)、中国政府采购网(www.ccgp.gov.cn)查询结果为准，如相关失信记录已失效，供应商需提供相关证明资料) ；</w:t>
            </w:r>
          </w:p>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3、依法需经批准的需提供相应的资质资料。</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w:t>
            </w:r>
            <w:r>
              <w:rPr>
                <w:rStyle w:val="27"/>
                <w:rFonts w:hint="eastAsia" w:ascii="宋体" w:hAnsi="宋体" w:eastAsia="宋体" w:cs="宋体"/>
                <w:sz w:val="24"/>
                <w:szCs w:val="24"/>
                <w:lang w:val="en-US" w:eastAsia="zh-CN" w:bidi="ar"/>
              </w:rPr>
              <w:t>标方法及标准</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w:t>
            </w:r>
            <w:r>
              <w:rPr>
                <w:rStyle w:val="27"/>
                <w:rFonts w:hint="eastAsia" w:ascii="宋体" w:hAnsi="宋体" w:eastAsia="宋体" w:cs="宋体"/>
                <w:sz w:val="24"/>
                <w:szCs w:val="24"/>
                <w:lang w:val="en-US" w:eastAsia="zh-CN" w:bidi="ar"/>
              </w:rPr>
              <w:t>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w:t>
            </w:r>
            <w:r>
              <w:rPr>
                <w:rStyle w:val="27"/>
                <w:rFonts w:hint="eastAsia" w:ascii="宋体" w:hAnsi="宋体" w:eastAsia="宋体" w:cs="宋体"/>
                <w:sz w:val="24"/>
                <w:szCs w:val="24"/>
                <w:lang w:val="en-US" w:eastAsia="zh-CN" w:bidi="ar"/>
              </w:rPr>
              <w:t>约保证金</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现场勘查</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Style w:val="27"/>
                <w:rFonts w:hint="eastAsia" w:ascii="宋体" w:hAnsi="宋体" w:eastAsia="宋体" w:cs="宋体"/>
                <w:sz w:val="24"/>
                <w:szCs w:val="24"/>
                <w:lang w:val="en-US" w:eastAsia="zh-CN" w:bidi="ar"/>
              </w:rPr>
              <w:t>√ ) 不组织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27"/>
                <w:rFonts w:hint="eastAsia" w:ascii="宋体" w:hAnsi="宋体" w:eastAsia="宋体" w:cs="宋体"/>
                <w:sz w:val="24"/>
                <w:szCs w:val="24"/>
                <w:lang w:val="en-US" w:eastAsia="zh-CN" w:bidi="ar"/>
              </w:rPr>
              <w:t xml:space="preserve">   ) 组  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偏离 </w:t>
            </w:r>
          </w:p>
        </w:tc>
        <w:tc>
          <w:tcPr>
            <w:tcW w:w="3389" w:type="pct"/>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■不允许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 允许偏离的内容、偏离范围和幅度：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质量标准</w:t>
            </w:r>
          </w:p>
        </w:tc>
        <w:tc>
          <w:tcPr>
            <w:tcW w:w="3389" w:type="pct"/>
            <w:shd w:val="clear" w:color="auto" w:fill="auto"/>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国家验收规范合格标准且达到甲方技术要求条件。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w:t>
            </w:r>
            <w:r>
              <w:rPr>
                <w:rStyle w:val="27"/>
                <w:rFonts w:hint="eastAsia" w:ascii="宋体" w:hAnsi="宋体" w:eastAsia="宋体" w:cs="宋体"/>
                <w:sz w:val="24"/>
                <w:szCs w:val="24"/>
                <w:lang w:val="en-US" w:eastAsia="zh-CN" w:bidi="ar"/>
              </w:rPr>
              <w:t>全文明施工</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约定采取施工安全措施，确保工程及其人员、材料</w:t>
            </w:r>
            <w:r>
              <w:rPr>
                <w:rStyle w:val="27"/>
                <w:rFonts w:hint="eastAsia" w:ascii="宋体" w:hAnsi="宋体" w:eastAsia="宋体" w:cs="宋体"/>
                <w:sz w:val="24"/>
                <w:szCs w:val="24"/>
                <w:lang w:val="en-US" w:eastAsia="zh-CN" w:bidi="ar"/>
              </w:rPr>
              <w:t>、设备和设施的安全，防止因工程施工造成的人身伤害和财产损失。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存档要</w:t>
            </w:r>
            <w:r>
              <w:rPr>
                <w:rStyle w:val="27"/>
                <w:rFonts w:hint="eastAsia" w:ascii="宋体" w:hAnsi="宋体" w:eastAsia="宋体" w:cs="宋体"/>
                <w:sz w:val="24"/>
                <w:szCs w:val="24"/>
                <w:lang w:val="en-US" w:eastAsia="zh-CN" w:bidi="ar"/>
              </w:rPr>
              <w:t>求</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纸质文件：1 正</w:t>
            </w:r>
            <w:r>
              <w:rPr>
                <w:rFonts w:hint="eastAsia" w:ascii="宋体" w:hAnsi="宋体" w:eastAsia="宋体" w:cs="宋体"/>
                <w:i w:val="0"/>
                <w:iCs w:val="0"/>
                <w:color w:val="000000"/>
                <w:sz w:val="24"/>
                <w:szCs w:val="24"/>
                <w:u w:val="none"/>
                <w:lang w:val="en-US" w:eastAsia="zh-CN"/>
              </w:rPr>
              <w:t xml:space="preserve"> 1</w:t>
            </w:r>
            <w:r>
              <w:rPr>
                <w:rFonts w:hint="eastAsia" w:ascii="宋体" w:hAnsi="宋体" w:eastAsia="宋体" w:cs="宋体"/>
                <w:i w:val="0"/>
                <w:iCs w:val="0"/>
                <w:color w:val="000000"/>
                <w:sz w:val="24"/>
                <w:szCs w:val="24"/>
                <w:u w:val="none"/>
              </w:rPr>
              <w:t xml:space="preserve"> 副；电子版：1 正 </w:t>
            </w: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 xml:space="preserve"> 副（介质为 </w:t>
            </w:r>
            <w:r>
              <w:rPr>
                <w:rFonts w:hint="eastAsia" w:ascii="宋体" w:hAnsi="宋体" w:eastAsia="宋体" w:cs="宋体"/>
                <w:i w:val="0"/>
                <w:iCs w:val="0"/>
                <w:color w:val="000000"/>
                <w:sz w:val="24"/>
                <w:szCs w:val="24"/>
                <w:u w:val="none"/>
                <w:lang w:val="en-US" w:eastAsia="zh-CN"/>
              </w:rPr>
              <w:t>U盘</w:t>
            </w:r>
            <w:r>
              <w:rPr>
                <w:rFonts w:hint="eastAsia" w:ascii="宋体" w:hAnsi="宋体" w:eastAsia="宋体" w:cs="宋体"/>
                <w:i w:val="0"/>
                <w:iCs w:val="0"/>
                <w:color w:val="000000"/>
                <w:sz w:val="24"/>
                <w:szCs w:val="24"/>
                <w:u w:val="none"/>
              </w:rPr>
              <w:t>），电子文件的标注：注明正、副本，项目名称</w:t>
            </w:r>
            <w:r>
              <w:rPr>
                <w:rFonts w:hint="eastAsia" w:ascii="宋体" w:hAnsi="宋体" w:eastAsia="宋体" w:cs="宋体"/>
                <w:i w:val="0"/>
                <w:iCs w:val="0"/>
                <w:color w:val="000000"/>
                <w:sz w:val="24"/>
                <w:szCs w:val="24"/>
                <w:u w:val="none"/>
                <w:lang w:val="en-US" w:eastAsia="zh-CN"/>
              </w:rPr>
              <w:t>文件</w:t>
            </w:r>
            <w:r>
              <w:rPr>
                <w:rFonts w:hint="eastAsia" w:ascii="宋体" w:hAnsi="宋体" w:eastAsia="宋体" w:cs="宋体"/>
                <w:spacing w:val="4"/>
                <w:sz w:val="24"/>
                <w:szCs w:val="24"/>
              </w:rPr>
              <w:t>磋商</w:t>
            </w:r>
            <w:r>
              <w:rPr>
                <w:rFonts w:hint="eastAsia" w:ascii="宋体" w:hAnsi="宋体" w:eastAsia="宋体" w:cs="宋体"/>
                <w:i w:val="0"/>
                <w:iCs w:val="0"/>
                <w:color w:val="000000"/>
                <w:sz w:val="24"/>
                <w:szCs w:val="24"/>
                <w:u w:val="none"/>
                <w:lang w:val="en-US" w:eastAsia="zh-CN"/>
              </w:rPr>
              <w:t>编号</w:t>
            </w:r>
            <w:r>
              <w:rPr>
                <w:rFonts w:hint="eastAsia" w:ascii="宋体" w:hAnsi="宋体" w:eastAsia="宋体" w:cs="宋体"/>
                <w:i w:val="0"/>
                <w:iCs w:val="0"/>
                <w:color w:val="000000"/>
                <w:sz w:val="24"/>
                <w:szCs w:val="24"/>
                <w:u w:val="none"/>
              </w:rPr>
              <w:t>、单位全称。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装订及编制要求</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纸质投标文件：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（1）投标文件的正本与副本应分别装订成册，并编制目录。投标文件的装订应牢固、不易拆散和换页，不得采用活页装订。只接受胶粘装订的投标文件，拒绝接收打孔装订的投标文件，投标文件纸型一律采用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A4 或A3纸型包括外封封皮（相关图纸可折叠成 A4 幅宽或者 A3 纸型单独成册）。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（2）装订好的投标文件要求编辑目录和逐页连续的页码。</w:t>
            </w:r>
          </w:p>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电子投标文件：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（1）U盘正副本。</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（2）U盘正本应为按照招标文件要求编制后的资格审查文件、技术标、资信标、商务标等全部投标文件内容（含图册部分），且为 pdf 格式，本项目电子版U盘为</w:t>
            </w:r>
            <w:r>
              <w:rPr>
                <w:rFonts w:hint="eastAsia" w:ascii="宋体" w:hAnsi="宋体" w:eastAsia="宋体" w:cs="宋体"/>
                <w:b/>
                <w:bCs/>
                <w:i w:val="0"/>
                <w:iCs w:val="0"/>
                <w:color w:val="000000"/>
                <w:kern w:val="0"/>
                <w:sz w:val="24"/>
                <w:szCs w:val="24"/>
                <w:u w:val="none"/>
                <w:lang w:val="en-US" w:eastAsia="zh-CN" w:bidi="ar"/>
              </w:rPr>
              <w:t>两个（一正一副）</w:t>
            </w:r>
            <w:r>
              <w:rPr>
                <w:rFonts w:hint="eastAsia" w:ascii="宋体" w:hAnsi="宋体" w:eastAsia="宋体" w:cs="宋体"/>
                <w:i w:val="0"/>
                <w:iCs w:val="0"/>
                <w:color w:val="000000"/>
                <w:kern w:val="0"/>
                <w:sz w:val="24"/>
                <w:szCs w:val="24"/>
                <w:u w:val="none"/>
                <w:lang w:val="en-US" w:eastAsia="zh-CN" w:bidi="ar"/>
              </w:rPr>
              <w:t>，电子投标文件须与纸质文件正本完全一致。投标人提交的电子文件中不得含有病毒、宏和其他异常执行程序，应保证正常读取，不能包含要求外的任何其他文件。</w:t>
            </w:r>
          </w:p>
          <w:p>
            <w:pPr>
              <w:keepNext w:val="0"/>
              <w:keepLines w:val="0"/>
              <w:widowControl/>
              <w:suppressLineNumbers w:val="0"/>
              <w:spacing w:line="360" w:lineRule="auto"/>
              <w:jc w:val="left"/>
              <w:textAlignment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（3）U盘封装要求：投标U盘需与纸质投标文件同时提交。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封套上应载明的信息</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清真牛羊肉精深加工与清真预制菜加工项目-污水处理成套设备投标文件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招标人名称：川楚联合国际工程有限公司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投标人名称：________________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w:t>
            </w:r>
            <w:r>
              <w:rPr>
                <w:rStyle w:val="27"/>
                <w:rFonts w:hint="eastAsia" w:ascii="宋体" w:hAnsi="宋体" w:eastAsia="宋体" w:cs="宋体"/>
                <w:sz w:val="24"/>
                <w:szCs w:val="24"/>
                <w:highlight w:val="none"/>
                <w:lang w:val="en-US" w:eastAsia="zh-CN" w:bidi="ar"/>
              </w:rPr>
              <w:t>纸获取方式</w:t>
            </w:r>
          </w:p>
        </w:tc>
        <w:tc>
          <w:tcPr>
            <w:tcW w:w="3389" w:type="pct"/>
            <w:shd w:val="clear" w:color="auto" w:fill="auto"/>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w:t>
            </w:r>
            <w:r>
              <w:rPr>
                <w:rStyle w:val="27"/>
                <w:rFonts w:hint="eastAsia" w:ascii="宋体" w:hAnsi="宋体" w:eastAsia="宋体" w:cs="宋体"/>
                <w:sz w:val="24"/>
                <w:szCs w:val="24"/>
                <w:lang w:val="en-US" w:eastAsia="zh-CN" w:bidi="ar"/>
              </w:rPr>
              <w:t>尽事宜</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w:t>
            </w:r>
            <w:r>
              <w:rPr>
                <w:rStyle w:val="27"/>
                <w:rFonts w:hint="eastAsia" w:ascii="宋体" w:hAnsi="宋体" w:eastAsia="宋体" w:cs="宋体"/>
                <w:sz w:val="24"/>
                <w:szCs w:val="24"/>
                <w:lang w:val="en-US" w:eastAsia="zh-CN" w:bidi="ar"/>
              </w:rPr>
              <w:t>订合同时双方另行约定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2" w:hRule="atLeast"/>
        </w:trPr>
        <w:tc>
          <w:tcPr>
            <w:tcW w:w="671"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开评标工作指</w:t>
            </w:r>
            <w:r>
              <w:rPr>
                <w:rStyle w:val="27"/>
                <w:rFonts w:hint="eastAsia" w:ascii="宋体" w:hAnsi="宋体" w:eastAsia="宋体" w:cs="宋体"/>
                <w:sz w:val="24"/>
                <w:szCs w:val="24"/>
                <w:lang w:val="en-US" w:eastAsia="zh-CN" w:bidi="ar"/>
              </w:rPr>
              <w:t>南</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27"/>
                <w:rFonts w:hint="eastAsia" w:ascii="宋体" w:hAnsi="宋体" w:eastAsia="宋体" w:cs="宋体"/>
                <w:sz w:val="24"/>
                <w:szCs w:val="24"/>
                <w:lang w:val="en-US" w:eastAsia="zh-CN" w:bidi="ar"/>
              </w:rPr>
              <w:t>.磋商响应文件递交</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w:t>
            </w:r>
            <w:r>
              <w:rPr>
                <w:rStyle w:val="27"/>
                <w:rFonts w:hint="eastAsia" w:ascii="宋体" w:hAnsi="宋体" w:eastAsia="宋体" w:cs="宋体"/>
                <w:sz w:val="24"/>
                <w:szCs w:val="24"/>
                <w:lang w:val="en-US" w:eastAsia="zh-CN" w:bidi="ar"/>
              </w:rPr>
              <w:t>磋商截止时间前，投标人现场递交磋商响应文件，投标人应确保开标之前招标人能收到投标文件，否则视为放弃本次投标。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友情提示</w:t>
            </w:r>
            <w:r>
              <w:rPr>
                <w:rStyle w:val="27"/>
                <w:rFonts w:hint="eastAsia" w:ascii="宋体" w:hAnsi="宋体" w:eastAsia="宋体" w:cs="宋体"/>
                <w:sz w:val="24"/>
                <w:szCs w:val="24"/>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1、标书中的资质等证明材料扫描件清晰，以便核看。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27"/>
                <w:rFonts w:hint="eastAsia" w:ascii="宋体" w:hAnsi="宋体" w:eastAsia="宋体" w:cs="宋体"/>
                <w:sz w:val="24"/>
                <w:szCs w:val="24"/>
                <w:lang w:val="en-US" w:eastAsia="zh-CN" w:bidi="ar"/>
              </w:rPr>
              <w:t>、投标中的签字盖章处必须为法人或授权委托人亲笔签名及单位鲜章。</w:t>
            </w:r>
          </w:p>
        </w:tc>
      </w:tr>
    </w:tbl>
    <w:p>
      <w:pPr>
        <w:pStyle w:val="16"/>
        <w:ind w:left="0" w:leftChars="0" w:firstLine="0" w:firstLineChars="0"/>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pStyle w:val="17"/>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br w:type="page"/>
      </w: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二、磋商须知</w:t>
      </w: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 总  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position w:val="1"/>
          <w:sz w:val="24"/>
          <w:szCs w:val="24"/>
          <w14:textOutline w14:w="4358" w14:cap="sq" w14:cmpd="sng">
            <w14:solidFill>
              <w14:srgbClr w14:val="000000"/>
            </w14:solidFill>
            <w14:prstDash w14:val="solid"/>
            <w14:bevel/>
          </w14:textOutline>
        </w:rPr>
        <w:t>1.</w:t>
      </w:r>
      <w:r>
        <w:rPr>
          <w:rFonts w:hint="eastAsia" w:ascii="宋体" w:hAnsi="宋体" w:eastAsia="宋体" w:cs="宋体"/>
          <w:position w:val="1"/>
          <w:sz w:val="24"/>
          <w:szCs w:val="24"/>
          <w14:textOutline w14:w="4358" w14:cap="sq" w14:cmpd="sng">
            <w14:solidFill>
              <w14:srgbClr w14:val="000000"/>
            </w14:solidFill>
            <w14:prstDash w14:val="solid"/>
            <w14:bevel/>
          </w14:textOutline>
        </w:rPr>
        <w:t>说明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1.1 适用范围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本磋商文件仅适用于本项目竞争性磋商文件中所叙述的采购范围。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 定义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1.2.1“采购人”系指</w:t>
      </w:r>
      <w:r>
        <w:rPr>
          <w:rFonts w:hint="eastAsia" w:ascii="宋体" w:hAnsi="宋体" w:eastAsia="宋体" w:cs="宋体"/>
          <w:spacing w:val="4"/>
          <w:sz w:val="24"/>
          <w:szCs w:val="24"/>
          <w:lang w:val="en-US" w:eastAsia="zh-CN"/>
        </w:rPr>
        <w:t>川楚联合国际工程有限公司</w:t>
      </w:r>
      <w:r>
        <w:rPr>
          <w:rFonts w:hint="eastAsia" w:ascii="宋体" w:hAnsi="宋体" w:eastAsia="宋体" w:cs="宋体"/>
          <w:spacing w:val="4"/>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“投标人”系指向招标</w:t>
      </w:r>
      <w:r>
        <w:rPr>
          <w:rFonts w:hint="eastAsia" w:ascii="宋体" w:hAnsi="宋体" w:eastAsia="宋体" w:cs="宋体"/>
          <w:spacing w:val="4"/>
          <w:sz w:val="24"/>
          <w:szCs w:val="24"/>
          <w:lang w:val="en-US" w:eastAsia="zh-CN"/>
        </w:rPr>
        <w:t>人</w:t>
      </w:r>
      <w:r>
        <w:rPr>
          <w:rFonts w:hint="eastAsia" w:ascii="宋体" w:hAnsi="宋体" w:eastAsia="宋体" w:cs="宋体"/>
          <w:spacing w:val="4"/>
          <w:sz w:val="24"/>
          <w:szCs w:val="24"/>
        </w:rPr>
        <w:t>提交磋商响应文件并参与投标的法人。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“成交人”系指经磋商小组综合评定后，确定的成交投标人。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“供方”指成交的投标人，合同一方的当事人。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“服务”是指投标人成交后根据磋商文件和合同的规定承担与供货、安装有关的服务，包括运输、仓储、保险以及其它的伴随服务，如售后、维修、更换和应承担的其它义务。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 合格的投标人的基本条件：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1.3.1 投标人必须符合《</w:t>
      </w:r>
      <w:r>
        <w:rPr>
          <w:rFonts w:hint="eastAsia" w:ascii="宋体" w:hAnsi="宋体" w:eastAsia="宋体" w:cs="宋体"/>
          <w:spacing w:val="4"/>
          <w:sz w:val="24"/>
          <w:szCs w:val="24"/>
          <w:lang w:eastAsia="zh-CN"/>
        </w:rPr>
        <w:t>政府采购法</w:t>
      </w:r>
      <w:r>
        <w:rPr>
          <w:rFonts w:hint="eastAsia" w:ascii="宋体" w:hAnsi="宋体" w:eastAsia="宋体" w:cs="宋体"/>
          <w:spacing w:val="4"/>
          <w:sz w:val="24"/>
          <w:szCs w:val="24"/>
        </w:rPr>
        <w:t>》第二十二条规定：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①在中华人民共和国境内注册，具有营业执照、税务登记证、组织机构代码证或企业 “三证合一”只需提供营业执照复印件并加盖公章；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②近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年内任意一个月缴纳税收的有效票据凭证 (复印件加盖公章)；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③近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年内任意一个月缴纳社保资金的有效票据凭证 (复印件加盖公章)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④具有履行合同所必需的设备和专业技术能力；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⑤参加采购活动前三年内，经营活动中没有重大违法记录的书面声明；</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投标人未被列入“信用中国”网站(www.creditchina.gov.cn)记录失信被执行人或重大税收违法案件当事人名单或政府采购严重违法失</w:t>
      </w:r>
      <w:r>
        <w:rPr>
          <w:rFonts w:hint="eastAsia" w:ascii="宋体" w:hAnsi="宋体" w:eastAsia="宋体" w:cs="宋体"/>
          <w:spacing w:val="13"/>
          <w:sz w:val="24"/>
          <w:szCs w:val="24"/>
        </w:rPr>
        <w:t>信行为记录名单；不处于中国政府采购网</w:t>
      </w:r>
      <w:r>
        <w:rPr>
          <w:rFonts w:hint="eastAsia" w:ascii="宋体" w:hAnsi="宋体" w:eastAsia="宋体" w:cs="宋体"/>
          <w:sz w:val="24"/>
          <w:szCs w:val="24"/>
        </w:rPr>
        <w:t xml:space="preserve"> </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1.3.3 依法需经批准的需提供相应的资质资料。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 xml:space="preserve">1.3.4 </w:t>
      </w:r>
      <w:r>
        <w:rPr>
          <w:rFonts w:hint="eastAsia" w:ascii="宋体" w:hAnsi="宋体" w:eastAsia="宋体" w:cs="宋体"/>
          <w:spacing w:val="8"/>
          <w:position w:val="1"/>
          <w:sz w:val="24"/>
          <w:szCs w:val="24"/>
        </w:rPr>
        <w:t>本项目</w:t>
      </w:r>
      <w:r>
        <w:rPr>
          <w:rFonts w:hint="eastAsia" w:ascii="宋体" w:hAnsi="宋体" w:eastAsia="宋体" w:cs="宋体"/>
          <w:spacing w:val="8"/>
          <w:position w:val="1"/>
          <w:sz w:val="24"/>
          <w:szCs w:val="24"/>
          <w:lang w:val="en-US" w:eastAsia="zh-CN"/>
        </w:rPr>
        <w:t>不</w:t>
      </w:r>
      <w:r>
        <w:rPr>
          <w:rFonts w:hint="eastAsia" w:ascii="宋体" w:hAnsi="宋体" w:eastAsia="宋体" w:cs="宋体"/>
          <w:spacing w:val="8"/>
          <w:position w:val="1"/>
          <w:sz w:val="24"/>
          <w:szCs w:val="24"/>
        </w:rPr>
        <w:t>接受联合体投标</w:t>
      </w:r>
      <w:r>
        <w:rPr>
          <w:rFonts w:hint="eastAsia" w:ascii="宋体" w:hAnsi="宋体" w:eastAsia="宋体" w:cs="宋体"/>
          <w:spacing w:val="6"/>
          <w:position w:val="1"/>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w:t>
      </w:r>
      <w:r>
        <w:rPr>
          <w:rFonts w:hint="eastAsia" w:ascii="宋体" w:hAnsi="宋体" w:eastAsia="宋体" w:cs="宋体"/>
          <w:spacing w:val="4"/>
          <w:sz w:val="24"/>
          <w:szCs w:val="24"/>
        </w:rPr>
        <w:t>4 招标的费用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本项目不收取招标服务费用。</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(二) 磋商文件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.1 磋商文</w:t>
      </w:r>
      <w:r>
        <w:rPr>
          <w:rFonts w:hint="eastAsia" w:ascii="宋体" w:hAnsi="宋体" w:eastAsia="宋体" w:cs="宋体"/>
          <w:sz w:val="24"/>
          <w:szCs w:val="24"/>
        </w:rPr>
        <w:t>件包括：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7"/>
          <w:sz w:val="24"/>
          <w:szCs w:val="24"/>
        </w:rPr>
        <w:t>1) 竞争性磋商公告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6"/>
          <w:sz w:val="24"/>
          <w:szCs w:val="24"/>
        </w:rPr>
        <w:t>2) 投标人须知及前附表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lang w:val="en-US" w:eastAsia="zh-CN"/>
        </w:rPr>
        <w:t>技术要求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8"/>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8"/>
          <w:sz w:val="24"/>
          <w:szCs w:val="24"/>
        </w:rPr>
        <w:t>.2 投标人应仔细阅读磋商文件中的所有内容。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如果投标人未按磋商文件要求提供全</w:t>
      </w:r>
      <w:r>
        <w:rPr>
          <w:rFonts w:hint="eastAsia" w:ascii="宋体" w:hAnsi="宋体" w:eastAsia="宋体" w:cs="宋体"/>
          <w:spacing w:val="15"/>
          <w:sz w:val="24"/>
          <w:szCs w:val="24"/>
        </w:rPr>
        <w:t>部资料或提交的磋商响应文件没有对磋商文件做出实质性响应，那么投标人将承担其</w:t>
      </w:r>
      <w:r>
        <w:rPr>
          <w:rFonts w:hint="eastAsia" w:ascii="宋体" w:hAnsi="宋体" w:eastAsia="宋体" w:cs="宋体"/>
          <w:spacing w:val="11"/>
          <w:sz w:val="24"/>
          <w:szCs w:val="24"/>
        </w:rPr>
        <w:t>风险</w:t>
      </w:r>
      <w:r>
        <w:rPr>
          <w:rFonts w:hint="eastAsia" w:ascii="宋体" w:hAnsi="宋体" w:eastAsia="宋体" w:cs="宋体"/>
          <w:spacing w:val="8"/>
          <w:sz w:val="24"/>
          <w:szCs w:val="24"/>
        </w:rPr>
        <w:t>，并有可能导致磋商响应文件被拒绝。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、磋商文件的澄清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任何要求对磋商文件进行澄清的投标人，均应在投标截止日期三天前按磋商公告</w:t>
      </w:r>
      <w:r>
        <w:rPr>
          <w:rFonts w:hint="eastAsia" w:ascii="宋体" w:hAnsi="宋体" w:eastAsia="宋体" w:cs="宋体"/>
          <w:spacing w:val="15"/>
          <w:sz w:val="24"/>
          <w:szCs w:val="24"/>
        </w:rPr>
        <w:t>及投标邀请书中的通讯地址以书面形式如信函或电子邮件等通知</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对投标截止日期前三天收到的任何澄清要求将以书面形式予以答复，同时将书</w:t>
      </w:r>
      <w:r>
        <w:rPr>
          <w:rFonts w:hint="eastAsia" w:ascii="宋体" w:hAnsi="宋体" w:eastAsia="宋体" w:cs="宋体"/>
          <w:spacing w:val="14"/>
          <w:sz w:val="24"/>
          <w:szCs w:val="24"/>
        </w:rPr>
        <w:t>面</w:t>
      </w:r>
      <w:r>
        <w:rPr>
          <w:rFonts w:hint="eastAsia" w:ascii="宋体" w:hAnsi="宋体" w:eastAsia="宋体" w:cs="宋体"/>
          <w:spacing w:val="18"/>
          <w:sz w:val="24"/>
          <w:szCs w:val="24"/>
        </w:rPr>
        <w:t>答</w:t>
      </w:r>
      <w:r>
        <w:rPr>
          <w:rFonts w:hint="eastAsia" w:ascii="宋体" w:hAnsi="宋体" w:eastAsia="宋体" w:cs="宋体"/>
          <w:spacing w:val="15"/>
          <w:sz w:val="24"/>
          <w:szCs w:val="24"/>
        </w:rPr>
        <w:t>复</w:t>
      </w:r>
      <w:r>
        <w:rPr>
          <w:rFonts w:hint="eastAsia" w:ascii="宋体" w:hAnsi="宋体" w:eastAsia="宋体" w:cs="宋体"/>
          <w:spacing w:val="9"/>
          <w:sz w:val="24"/>
          <w:szCs w:val="24"/>
        </w:rPr>
        <w:t>每个获取磋商文件的投标人，答复中包括所问问题，但不包括问题的来源。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、磋商文件的修改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lang w:val="en-US" w:eastAsia="zh-CN"/>
        </w:rPr>
        <w:t>3</w:t>
      </w:r>
      <w:r>
        <w:rPr>
          <w:rFonts w:hint="eastAsia" w:ascii="宋体" w:hAnsi="宋体" w:eastAsia="宋体" w:cs="宋体"/>
          <w:spacing w:val="8"/>
          <w:sz w:val="24"/>
          <w:szCs w:val="24"/>
        </w:rPr>
        <w:t>.1 在投标截止期前的任何时候，无论出于何种原因，</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可主动地或在解</w:t>
      </w:r>
      <w:r>
        <w:rPr>
          <w:rFonts w:hint="eastAsia" w:ascii="宋体" w:hAnsi="宋体" w:eastAsia="宋体" w:cs="宋体"/>
          <w:spacing w:val="11"/>
          <w:sz w:val="24"/>
          <w:szCs w:val="24"/>
        </w:rPr>
        <w:t>答</w:t>
      </w:r>
      <w:r>
        <w:rPr>
          <w:rFonts w:hint="eastAsia" w:ascii="宋体" w:hAnsi="宋体" w:eastAsia="宋体" w:cs="宋体"/>
          <w:spacing w:val="9"/>
          <w:sz w:val="24"/>
          <w:szCs w:val="24"/>
        </w:rPr>
        <w:t>投标人提出的澄清问题时对磋商文件进行修改。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2 磋商文件的修改将以书面形式或电子邮件形式，通知所有获得磋商文件的投标</w:t>
      </w:r>
      <w:r>
        <w:rPr>
          <w:rFonts w:hint="eastAsia" w:ascii="宋体" w:hAnsi="宋体" w:eastAsia="宋体" w:cs="宋体"/>
          <w:spacing w:val="18"/>
          <w:sz w:val="24"/>
          <w:szCs w:val="24"/>
        </w:rPr>
        <w:t>人</w:t>
      </w:r>
      <w:r>
        <w:rPr>
          <w:rFonts w:hint="eastAsia" w:ascii="宋体" w:hAnsi="宋体" w:eastAsia="宋体" w:cs="宋体"/>
          <w:spacing w:val="15"/>
          <w:sz w:val="24"/>
          <w:szCs w:val="24"/>
        </w:rPr>
        <w:t>，</w:t>
      </w:r>
      <w:r>
        <w:rPr>
          <w:rFonts w:hint="eastAsia" w:ascii="宋体" w:hAnsi="宋体" w:eastAsia="宋体" w:cs="宋体"/>
          <w:spacing w:val="9"/>
          <w:sz w:val="24"/>
          <w:szCs w:val="24"/>
        </w:rPr>
        <w:t>并对其具有约束力，投标人应立即以书面或电子邮件形式确认已收到修改文件。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3 为使投标人编写投标书时有充分时间对磋商文件的修改部分进行研究，</w:t>
      </w:r>
      <w:r>
        <w:rPr>
          <w:rFonts w:hint="eastAsia" w:ascii="宋体" w:hAnsi="宋体" w:eastAsia="宋体" w:cs="宋体"/>
          <w:spacing w:val="14"/>
          <w:sz w:val="24"/>
          <w:szCs w:val="24"/>
          <w:lang w:eastAsia="zh-CN"/>
        </w:rPr>
        <w:t>招标方</w:t>
      </w:r>
      <w:r>
        <w:rPr>
          <w:rFonts w:hint="eastAsia" w:ascii="宋体" w:hAnsi="宋体" w:eastAsia="宋体" w:cs="宋体"/>
          <w:spacing w:val="9"/>
          <w:sz w:val="24"/>
          <w:szCs w:val="24"/>
        </w:rPr>
        <w:t>可酌情延长投标截止日期，并通知每一个投标人。</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(三) 磋商响应性文件的编制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、投标的语言及度量衡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1</w:t>
      </w:r>
      <w:r>
        <w:rPr>
          <w:rFonts w:hint="eastAsia" w:ascii="宋体" w:hAnsi="宋体" w:eastAsia="宋体" w:cs="宋体"/>
          <w:spacing w:val="8"/>
          <w:sz w:val="24"/>
          <w:szCs w:val="24"/>
        </w:rPr>
        <w:t>.1 投标人提交的磋商响应性文件以及投标人和</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就投标交换的文件和来</w:t>
      </w:r>
      <w:r>
        <w:rPr>
          <w:rFonts w:hint="eastAsia" w:ascii="宋体" w:hAnsi="宋体" w:eastAsia="宋体" w:cs="宋体"/>
          <w:spacing w:val="9"/>
          <w:sz w:val="24"/>
          <w:szCs w:val="24"/>
        </w:rPr>
        <w:t>往</w:t>
      </w:r>
      <w:r>
        <w:rPr>
          <w:rFonts w:hint="eastAsia" w:ascii="宋体" w:hAnsi="宋体" w:eastAsia="宋体" w:cs="宋体"/>
          <w:spacing w:val="8"/>
          <w:sz w:val="24"/>
          <w:szCs w:val="24"/>
        </w:rPr>
        <w:t>信件均应使用中文。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w:t>
      </w:r>
      <w:r>
        <w:rPr>
          <w:rFonts w:hint="eastAsia" w:ascii="宋体" w:hAnsi="宋体" w:eastAsia="宋体" w:cs="宋体"/>
          <w:spacing w:val="9"/>
          <w:sz w:val="24"/>
          <w:szCs w:val="24"/>
        </w:rPr>
        <w:t>2</w:t>
      </w:r>
      <w:r>
        <w:rPr>
          <w:rFonts w:hint="eastAsia" w:ascii="宋体" w:hAnsi="宋体" w:eastAsia="宋体" w:cs="宋体"/>
          <w:spacing w:val="6"/>
          <w:sz w:val="24"/>
          <w:szCs w:val="24"/>
        </w:rPr>
        <w:t xml:space="preserve"> 除在磋商文件中另有规定外，度量衡单位应使用公制单位。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、磋商响应性文件的组成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2"/>
          <w:sz w:val="24"/>
          <w:szCs w:val="24"/>
        </w:rPr>
        <w:t>.1 磋商响应文件包括：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(1) </w:t>
      </w:r>
      <w:r>
        <w:rPr>
          <w:rFonts w:ascii="宋体" w:hAnsi="宋体" w:eastAsia="宋体" w:cs="宋体"/>
          <w:sz w:val="24"/>
          <w:szCs w:val="24"/>
        </w:rPr>
        <w:t>报价一览表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(2) </w:t>
      </w:r>
      <w:r>
        <w:rPr>
          <w:rFonts w:ascii="宋体" w:hAnsi="宋体" w:eastAsia="宋体" w:cs="宋体"/>
          <w:sz w:val="24"/>
          <w:szCs w:val="24"/>
        </w:rPr>
        <w:t>投标函格式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(3) </w:t>
      </w:r>
      <w:r>
        <w:rPr>
          <w:rFonts w:ascii="宋体" w:hAnsi="宋体" w:eastAsia="宋体" w:cs="宋体"/>
          <w:spacing w:val="2"/>
          <w:sz w:val="24"/>
          <w:szCs w:val="24"/>
        </w:rPr>
        <w:t>法人授权函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(4) </w:t>
      </w:r>
      <w:r>
        <w:rPr>
          <w:rFonts w:ascii="宋体" w:hAnsi="宋体" w:eastAsia="宋体" w:cs="宋体"/>
          <w:spacing w:val="-2"/>
          <w:sz w:val="24"/>
          <w:szCs w:val="24"/>
        </w:rPr>
        <w:t>承诺函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(5) </w:t>
      </w:r>
      <w:r>
        <w:rPr>
          <w:rFonts w:hint="eastAsia" w:ascii="宋体" w:hAnsi="宋体" w:eastAsia="宋体" w:cs="宋体"/>
          <w:spacing w:val="1"/>
          <w:sz w:val="24"/>
          <w:szCs w:val="24"/>
          <w:lang w:val="en-US" w:eastAsia="zh-CN"/>
        </w:rPr>
        <w:t>技术方案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(6) </w:t>
      </w:r>
      <w:r>
        <w:rPr>
          <w:rFonts w:ascii="宋体" w:hAnsi="宋体" w:eastAsia="宋体" w:cs="宋体"/>
          <w:spacing w:val="2"/>
          <w:sz w:val="24"/>
          <w:szCs w:val="24"/>
        </w:rPr>
        <w:t>公司业绩一览表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(7) </w:t>
      </w:r>
      <w:r>
        <w:rPr>
          <w:rFonts w:ascii="宋体" w:hAnsi="宋体" w:eastAsia="宋体" w:cs="宋体"/>
          <w:spacing w:val="1"/>
          <w:sz w:val="24"/>
          <w:szCs w:val="24"/>
        </w:rPr>
        <w:t>售后服务承诺</w:t>
      </w:r>
    </w:p>
    <w:p>
      <w:pPr>
        <w:keepNext w:val="0"/>
        <w:keepLines w:val="0"/>
        <w:pageBreakBefore w:val="0"/>
        <w:widowControl/>
        <w:kinsoku/>
        <w:wordWrap/>
        <w:overflowPunct/>
        <w:topLinePunct w:val="0"/>
        <w:autoSpaceDE/>
        <w:autoSpaceDN/>
        <w:bidi w:val="0"/>
        <w:adjustRightInd/>
        <w:snapToGrid/>
        <w:spacing w:before="76" w:line="360" w:lineRule="auto"/>
        <w:ind w:left="27" w:right="0" w:firstLine="572" w:firstLineChars="200"/>
        <w:textAlignment w:val="auto"/>
        <w:rPr>
          <w:rFonts w:hint="eastAsia" w:ascii="宋体" w:hAnsi="宋体" w:eastAsia="宋体" w:cs="宋体"/>
          <w:spacing w:val="23"/>
          <w:sz w:val="24"/>
          <w:szCs w:val="24"/>
        </w:rPr>
      </w:pPr>
      <w:r>
        <w:rPr>
          <w:rFonts w:hint="eastAsia" w:ascii="宋体" w:hAnsi="宋体" w:eastAsia="宋体" w:cs="宋体"/>
          <w:spacing w:val="23"/>
          <w:sz w:val="24"/>
          <w:szCs w:val="24"/>
        </w:rPr>
        <w:t xml:space="preserve">(8) </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2</w:t>
      </w:r>
      <w:r>
        <w:rPr>
          <w:rFonts w:hint="eastAsia" w:ascii="宋体" w:hAnsi="宋体" w:eastAsia="宋体" w:cs="宋体"/>
          <w:spacing w:val="8"/>
          <w:sz w:val="24"/>
          <w:szCs w:val="24"/>
        </w:rPr>
        <w:t>.2 实质上没有响应磋商文件要求的磋商响应文件将视为无效投标。出现但不限于下</w:t>
      </w:r>
      <w:r>
        <w:rPr>
          <w:rFonts w:hint="eastAsia" w:ascii="宋体" w:hAnsi="宋体" w:eastAsia="宋体" w:cs="宋体"/>
          <w:spacing w:val="16"/>
          <w:sz w:val="24"/>
          <w:szCs w:val="24"/>
        </w:rPr>
        <w:t>列</w:t>
      </w:r>
      <w:r>
        <w:rPr>
          <w:rFonts w:hint="eastAsia" w:ascii="宋体" w:hAnsi="宋体" w:eastAsia="宋体" w:cs="宋体"/>
          <w:spacing w:val="11"/>
          <w:sz w:val="24"/>
          <w:szCs w:val="24"/>
        </w:rPr>
        <w:t>情</w:t>
      </w:r>
      <w:r>
        <w:rPr>
          <w:rFonts w:hint="eastAsia" w:ascii="宋体" w:hAnsi="宋体" w:eastAsia="宋体" w:cs="宋体"/>
          <w:spacing w:val="8"/>
          <w:sz w:val="24"/>
          <w:szCs w:val="24"/>
        </w:rPr>
        <w:t>况之一的，其投标将视为无效投标：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 磋商响应文件关键内容字迹模糊、无法辨认的</w:t>
      </w:r>
      <w:r>
        <w:rPr>
          <w:rFonts w:hint="eastAsia" w:ascii="宋体" w:hAnsi="宋体" w:eastAsia="宋体" w:cs="宋体"/>
          <w:spacing w:val="5"/>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2</w:t>
      </w:r>
      <w:r>
        <w:rPr>
          <w:rFonts w:hint="eastAsia" w:ascii="宋体" w:hAnsi="宋体" w:eastAsia="宋体" w:cs="宋体"/>
          <w:spacing w:val="12"/>
          <w:sz w:val="24"/>
          <w:szCs w:val="24"/>
        </w:rPr>
        <w:t>) 磋商响应文件未按磋商文件规定有效签字和盖章的；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(3) 投标有效期不足的；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(4) 投标报价实质性不完整的；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t>) 投标人不接受按照磋商文件规定的方法对其投标价格算术错误更正的；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6</w:t>
      </w:r>
      <w:r>
        <w:rPr>
          <w:rFonts w:hint="eastAsia" w:ascii="宋体" w:hAnsi="宋体" w:eastAsia="宋体" w:cs="宋体"/>
          <w:spacing w:val="19"/>
          <w:sz w:val="24"/>
          <w:szCs w:val="24"/>
        </w:rPr>
        <w:t>) 投标人有重大违法违规行为或政府采购不良记录的；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7</w:t>
      </w:r>
      <w:r>
        <w:rPr>
          <w:rFonts w:hint="eastAsia" w:ascii="宋体" w:hAnsi="宋体" w:eastAsia="宋体" w:cs="宋体"/>
          <w:spacing w:val="19"/>
          <w:sz w:val="24"/>
          <w:szCs w:val="24"/>
        </w:rPr>
        <w:t>) 出现磋商文件中规定的其他无效标情形的。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.1 磋商响应文件包括本须知中规定的内容。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.2 投标人应将磋商响应性文件按规定的顺序编排、并应编制目录</w:t>
      </w:r>
      <w:r>
        <w:rPr>
          <w:rFonts w:hint="eastAsia" w:ascii="宋体" w:hAnsi="宋体" w:eastAsia="宋体" w:cs="宋体"/>
          <w:spacing w:val="7"/>
          <w:sz w:val="24"/>
          <w:szCs w:val="24"/>
        </w:rPr>
        <w:t>并装订成册。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、投标货币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投标应以人民币报价</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、证明投标人合格和资格的证明文</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8"/>
          <w:sz w:val="24"/>
          <w:szCs w:val="24"/>
        </w:rPr>
        <w:t>.1 投标人须提交证明其有资格参加投标和成交后有能力履行合同的文件，并作为其</w:t>
      </w:r>
      <w:r>
        <w:rPr>
          <w:rFonts w:hint="eastAsia" w:ascii="宋体" w:hAnsi="宋体" w:eastAsia="宋体" w:cs="宋体"/>
          <w:spacing w:val="11"/>
          <w:sz w:val="24"/>
          <w:szCs w:val="24"/>
        </w:rPr>
        <w:t>磋</w:t>
      </w:r>
      <w:r>
        <w:rPr>
          <w:rFonts w:hint="eastAsia" w:ascii="宋体" w:hAnsi="宋体" w:eastAsia="宋体" w:cs="宋体"/>
          <w:spacing w:val="8"/>
          <w:sz w:val="24"/>
          <w:szCs w:val="24"/>
        </w:rPr>
        <w:t>商响应文件的一部分。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7"/>
          <w:sz w:val="24"/>
          <w:szCs w:val="24"/>
          <w:lang w:val="en-US" w:eastAsia="zh-CN"/>
        </w:rPr>
        <w:t>5</w:t>
      </w:r>
      <w:r>
        <w:rPr>
          <w:rFonts w:hint="eastAsia" w:ascii="宋体" w:hAnsi="宋体" w:eastAsia="宋体" w:cs="宋体"/>
          <w:spacing w:val="6"/>
          <w:position w:val="17"/>
          <w:sz w:val="24"/>
          <w:szCs w:val="24"/>
        </w:rPr>
        <w:t>.2 投标人提交的合格性的证明文件应使采购人满意：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投</w:t>
      </w:r>
      <w:r>
        <w:rPr>
          <w:rFonts w:hint="eastAsia" w:ascii="宋体" w:hAnsi="宋体" w:eastAsia="宋体" w:cs="宋体"/>
          <w:spacing w:val="9"/>
          <w:sz w:val="24"/>
          <w:szCs w:val="24"/>
        </w:rPr>
        <w:t>标人必须具备履行合同所需的财务、技术和人员能力。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、磋商有效</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6.1 自磋商之日起</w:t>
      </w:r>
      <w:r>
        <w:rPr>
          <w:rFonts w:hint="eastAsia" w:ascii="宋体" w:hAnsi="宋体" w:eastAsia="宋体" w:cs="宋体"/>
          <w:spacing w:val="9"/>
          <w:position w:val="17"/>
          <w:sz w:val="24"/>
          <w:szCs w:val="24"/>
          <w:u w:val="single"/>
          <w:lang w:val="en-US" w:eastAsia="zh-CN"/>
        </w:rPr>
        <w:t xml:space="preserve"> 60 </w:t>
      </w:r>
      <w:r>
        <w:rPr>
          <w:rFonts w:hint="eastAsia" w:ascii="宋体" w:hAnsi="宋体" w:eastAsia="宋体" w:cs="宋体"/>
          <w:spacing w:val="9"/>
          <w:position w:val="17"/>
          <w:sz w:val="24"/>
          <w:szCs w:val="24"/>
          <w:lang w:val="en-US" w:eastAsia="zh-CN"/>
        </w:rPr>
        <w:t>天内有效。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6.2 在特殊情况下，在原磋商有效期内，采购人可征得投标人同意延长磋商有效期。这种要求与答复均应为书面形式如电传、传真等。</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t>(四) 投标人开评标操作事项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开标时间和开标地点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招标人在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投标人资格要求</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中</w:t>
      </w:r>
      <w:r>
        <w:rPr>
          <w:rFonts w:hint="eastAsia" w:ascii="宋体" w:hAnsi="宋体" w:eastAsia="宋体" w:cs="宋体"/>
          <w:spacing w:val="7"/>
          <w:sz w:val="24"/>
          <w:szCs w:val="24"/>
          <w:highlight w:val="none"/>
        </w:rPr>
        <w:t>规定的地点公开开标，所有投标人的法定代表人或其委托代理人应当准时参加。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 xml:space="preserve">2、开标程序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主持人按下列程序进行开标：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（1）宣布开标纪律；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（2）公布在投标截止时间前递交投标文件的投标人名称；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（3）宣布</w:t>
      </w:r>
      <w:r>
        <w:rPr>
          <w:rFonts w:hint="eastAsia" w:ascii="宋体" w:hAnsi="宋体" w:eastAsia="宋体" w:cs="宋体"/>
          <w:spacing w:val="7"/>
          <w:sz w:val="24"/>
          <w:szCs w:val="24"/>
          <w:highlight w:val="none"/>
          <w:lang w:val="en-US" w:eastAsia="zh-CN"/>
        </w:rPr>
        <w:t>参加评标</w:t>
      </w:r>
      <w:r>
        <w:rPr>
          <w:rFonts w:hint="eastAsia" w:ascii="宋体" w:hAnsi="宋体" w:eastAsia="宋体" w:cs="宋体"/>
          <w:spacing w:val="7"/>
          <w:sz w:val="24"/>
          <w:szCs w:val="24"/>
          <w:highlight w:val="none"/>
        </w:rPr>
        <w:t xml:space="preserve">等有关人员姓名；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4"/>
          <w:szCs w:val="24"/>
          <w:highlight w:val="none"/>
        </w:rPr>
        <w:t>（4）按照投标人须知前附表规定的开标顺序当众开标，公布招标项目名称、投标人名称、投标报价及其他内容，并记录在案；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、磋商响应文件递交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截止时间前，投标人</w:t>
      </w:r>
      <w:r>
        <w:rPr>
          <w:rFonts w:hint="eastAsia" w:ascii="宋体" w:hAnsi="宋体" w:eastAsia="宋体" w:cs="宋体"/>
          <w:spacing w:val="4"/>
          <w:sz w:val="24"/>
          <w:szCs w:val="24"/>
          <w:highlight w:val="none"/>
          <w:lang w:val="en-US" w:eastAsia="zh-CN"/>
        </w:rPr>
        <w:t>需确保投标文件已递交给招标人。</w:t>
      </w:r>
      <w:r>
        <w:rPr>
          <w:rFonts w:hint="eastAsia" w:ascii="宋体" w:hAnsi="宋体" w:eastAsia="宋体" w:cs="宋体"/>
          <w:spacing w:val="18"/>
          <w:sz w:val="24"/>
          <w:szCs w:val="24"/>
          <w:highlight w:val="none"/>
        </w:rPr>
        <w:t>若</w:t>
      </w: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w:t>
      </w:r>
      <w:r>
        <w:rPr>
          <w:rFonts w:hint="eastAsia" w:ascii="宋体" w:hAnsi="宋体" w:eastAsia="宋体" w:cs="宋体"/>
          <w:spacing w:val="4"/>
          <w:sz w:val="24"/>
          <w:szCs w:val="24"/>
          <w:highlight w:val="none"/>
          <w:lang w:val="en-US" w:eastAsia="zh-CN"/>
        </w:rPr>
        <w:t>招标人未收到</w:t>
      </w:r>
      <w:r>
        <w:rPr>
          <w:rFonts w:hint="eastAsia" w:ascii="宋体" w:hAnsi="宋体" w:eastAsia="宋体" w:cs="宋体"/>
          <w:spacing w:val="18"/>
          <w:sz w:val="24"/>
          <w:szCs w:val="24"/>
          <w:highlight w:val="none"/>
        </w:rPr>
        <w:t>磋商响应文件</w:t>
      </w:r>
      <w:r>
        <w:rPr>
          <w:rFonts w:hint="eastAsia" w:ascii="宋体" w:hAnsi="宋体" w:eastAsia="宋体" w:cs="宋体"/>
          <w:spacing w:val="18"/>
          <w:sz w:val="24"/>
          <w:szCs w:val="24"/>
          <w:highlight w:val="none"/>
          <w:lang w:val="en-US" w:eastAsia="zh-CN"/>
        </w:rPr>
        <w:t>的</w:t>
      </w:r>
      <w:r>
        <w:rPr>
          <w:rFonts w:hint="eastAsia" w:ascii="宋体" w:hAnsi="宋体" w:eastAsia="宋体" w:cs="宋体"/>
          <w:spacing w:val="18"/>
          <w:sz w:val="24"/>
          <w:szCs w:val="24"/>
          <w:highlight w:val="none"/>
        </w:rPr>
        <w:t>，视为放弃</w:t>
      </w:r>
      <w:r>
        <w:rPr>
          <w:rFonts w:hint="eastAsia" w:ascii="宋体" w:hAnsi="宋体" w:eastAsia="宋体" w:cs="宋体"/>
          <w:spacing w:val="12"/>
          <w:sz w:val="24"/>
          <w:szCs w:val="24"/>
          <w:highlight w:val="none"/>
        </w:rPr>
        <w:t>本</w:t>
      </w:r>
      <w:r>
        <w:rPr>
          <w:rFonts w:hint="eastAsia" w:ascii="宋体" w:hAnsi="宋体" w:eastAsia="宋体" w:cs="宋体"/>
          <w:spacing w:val="33"/>
          <w:sz w:val="24"/>
          <w:szCs w:val="24"/>
          <w:highlight w:val="none"/>
        </w:rPr>
        <w:t>次</w:t>
      </w:r>
      <w:r>
        <w:rPr>
          <w:rFonts w:hint="eastAsia" w:ascii="宋体" w:hAnsi="宋体" w:eastAsia="宋体" w:cs="宋体"/>
          <w:spacing w:val="32"/>
          <w:sz w:val="24"/>
          <w:szCs w:val="24"/>
          <w:highlight w:val="none"/>
        </w:rPr>
        <w:t>投标。</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(五) 竞争性磋商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3"/>
          <w:position w:val="1"/>
          <w:sz w:val="24"/>
          <w:szCs w:val="24"/>
          <w14:textOutline w14:w="4358" w14:cap="sq" w14:cmpd="sng">
            <w14:solidFill>
              <w14:srgbClr w14:val="000000"/>
            </w14:solidFill>
            <w14:prstDash w14:val="solid"/>
            <w14:bevel/>
          </w14:textOutline>
        </w:rPr>
        <w:t>、磋商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 xml:space="preserve">.1 </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将在“磋商须知前附表”规定的时间、地点组织磋商。投标人应委派代表</w:t>
      </w:r>
      <w:r>
        <w:rPr>
          <w:rFonts w:hint="eastAsia" w:ascii="宋体" w:hAnsi="宋体" w:eastAsia="宋体" w:cs="宋体"/>
          <w:spacing w:val="8"/>
          <w:sz w:val="24"/>
          <w:szCs w:val="24"/>
          <w:lang w:val="en-US" w:eastAsia="zh-CN"/>
        </w:rPr>
        <w:t>现场或</w:t>
      </w:r>
      <w:r>
        <w:rPr>
          <w:rFonts w:hint="eastAsia" w:ascii="宋体" w:hAnsi="宋体" w:eastAsia="宋体" w:cs="宋体"/>
          <w:spacing w:val="8"/>
          <w:sz w:val="24"/>
          <w:szCs w:val="24"/>
        </w:rPr>
        <w:t>在线参加，并向磋商小组递交响应文件。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 xml:space="preserve"> 评标方法：综合评分法。</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、磋商小组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2.1 招标方将按照《政府采购法》、《政府采购竞争性磋商采购方式管理暂行办法》及有关规定组建磋商小组。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2.2 磋商小组由采购人组织相关人员组成。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2.3 磋商小组所有成员应当集中与单一投标人分别进行磋商。在磋商中，磋商的任何一方不得透露与磋商有关的其他投标人的技术资料、价格和其他信息。磋商文件有实质性变动的，磋商小组应当以书面形式通知所有参加磋商的投标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2.4 磋商结束后，由磋商小组进行综合评价。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2.5 在磋商期间，磋商小组可要求投标人对其磋商响应文件中含义不明确的内容作必要的澄清或说明。有关澄清的要求和答复均应以书面形式提交，澄清的内容为磋商响应文件的组成部分。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2.6 参加磋商的投标人应当对磋商的承诺和最后报价以书面形式确认，并由授权代表签字。</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、磋商过程的保密性</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1 磋商后，直到向成交的投标人授予合同时止，凡与审查、澄清、评价和比较文</w:t>
      </w:r>
      <w:r>
        <w:rPr>
          <w:rFonts w:hint="eastAsia" w:ascii="宋体" w:hAnsi="宋体" w:eastAsia="宋体" w:cs="宋体"/>
          <w:spacing w:val="18"/>
          <w:sz w:val="24"/>
          <w:szCs w:val="24"/>
        </w:rPr>
        <w:t>件</w:t>
      </w:r>
      <w:r>
        <w:rPr>
          <w:rFonts w:hint="eastAsia" w:ascii="宋体" w:hAnsi="宋体" w:eastAsia="宋体" w:cs="宋体"/>
          <w:spacing w:val="15"/>
          <w:sz w:val="24"/>
          <w:szCs w:val="24"/>
        </w:rPr>
        <w:t>的</w:t>
      </w:r>
      <w:r>
        <w:rPr>
          <w:rFonts w:hint="eastAsia" w:ascii="宋体" w:hAnsi="宋体" w:eastAsia="宋体" w:cs="宋体"/>
          <w:spacing w:val="9"/>
          <w:sz w:val="24"/>
          <w:szCs w:val="24"/>
        </w:rPr>
        <w:t>有关资料以及授标意见等，均不得向投标人及与磋商无关的其他人透露。</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2 在磋商响应过程中，如果投标人试图在响应文件审查、澄清、比较及授予合同</w:t>
      </w:r>
      <w:r>
        <w:rPr>
          <w:rFonts w:hint="eastAsia" w:ascii="宋体" w:hAnsi="宋体" w:eastAsia="宋体" w:cs="宋体"/>
          <w:spacing w:val="11"/>
          <w:sz w:val="24"/>
          <w:szCs w:val="24"/>
        </w:rPr>
        <w:t>方</w:t>
      </w:r>
      <w:r>
        <w:rPr>
          <w:rFonts w:hint="eastAsia" w:ascii="宋体" w:hAnsi="宋体" w:eastAsia="宋体" w:cs="宋体"/>
          <w:spacing w:val="9"/>
          <w:sz w:val="24"/>
          <w:szCs w:val="24"/>
        </w:rPr>
        <w:t>面向采购人施加任何影响，其响应文件将被拒绝。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、磋商响应文件的初审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w:t>
      </w:r>
      <w:r>
        <w:rPr>
          <w:rFonts w:hint="eastAsia" w:ascii="宋体" w:hAnsi="宋体" w:eastAsia="宋体" w:cs="宋体"/>
          <w:spacing w:val="16"/>
          <w:sz w:val="24"/>
          <w:szCs w:val="24"/>
        </w:rPr>
        <w:t>.</w:t>
      </w:r>
      <w:r>
        <w:rPr>
          <w:rFonts w:hint="eastAsia" w:ascii="宋体" w:hAnsi="宋体" w:eastAsia="宋体" w:cs="宋体"/>
          <w:spacing w:val="10"/>
          <w:sz w:val="24"/>
          <w:szCs w:val="24"/>
        </w:rPr>
        <w:t xml:space="preserve">1 </w:t>
      </w:r>
      <w:r>
        <w:rPr>
          <w:rFonts w:hint="eastAsia" w:ascii="宋体" w:hAnsi="宋体" w:eastAsia="宋体" w:cs="宋体"/>
          <w:spacing w:val="20"/>
          <w:sz w:val="24"/>
          <w:szCs w:val="24"/>
          <w:lang w:val="en-US" w:eastAsia="zh-CN"/>
        </w:rPr>
        <w:t>算术错误将按以下方法更正：若单价计算的结果与总价不一致， 以单价为准修改总价；若用文字表示的数值与数字表示的数值不一致，以文字表示的数值为准。如果投标人不接受对其错误的更正，其响应文件将被拒绝。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4.2 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、磋商响应文件的澄清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为有助于对磋商响应文件的审查、评价和比较，磋商响应期间可分别要求投标</w:t>
      </w:r>
      <w:r>
        <w:rPr>
          <w:rFonts w:hint="eastAsia" w:ascii="宋体" w:hAnsi="宋体" w:eastAsia="宋体" w:cs="宋体"/>
          <w:spacing w:val="18"/>
          <w:sz w:val="24"/>
          <w:szCs w:val="24"/>
        </w:rPr>
        <w:t>人</w:t>
      </w:r>
      <w:r>
        <w:rPr>
          <w:rFonts w:hint="eastAsia" w:ascii="宋体" w:hAnsi="宋体" w:eastAsia="宋体" w:cs="宋体"/>
          <w:spacing w:val="16"/>
          <w:sz w:val="24"/>
          <w:szCs w:val="24"/>
        </w:rPr>
        <w:t>对</w:t>
      </w:r>
      <w:r>
        <w:rPr>
          <w:rFonts w:hint="eastAsia" w:ascii="宋体" w:hAnsi="宋体" w:eastAsia="宋体" w:cs="宋体"/>
          <w:spacing w:val="9"/>
          <w:sz w:val="24"/>
          <w:szCs w:val="24"/>
        </w:rPr>
        <w:t>其磋商响应文件进行澄清或答疑，有关澄清或答疑要求的答复应以书面形式提交。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、磋商响应文件的详细评审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rPr>
        <w:t xml:space="preserve">.1 </w:t>
      </w:r>
      <w:r>
        <w:rPr>
          <w:rFonts w:hint="eastAsia" w:ascii="宋体" w:hAnsi="宋体" w:eastAsia="宋体" w:cs="宋体"/>
          <w:spacing w:val="11"/>
          <w:sz w:val="24"/>
          <w:szCs w:val="24"/>
        </w:rPr>
        <w:t>详细磋商即以磋商文件为依据，对所有实质上响应的磋商响应文件分别从“商</w:t>
      </w:r>
      <w:r>
        <w:rPr>
          <w:rFonts w:hint="eastAsia" w:ascii="宋体" w:hAnsi="宋体" w:eastAsia="宋体" w:cs="宋体"/>
          <w:spacing w:val="2"/>
          <w:sz w:val="24"/>
          <w:szCs w:val="24"/>
        </w:rPr>
        <w:t>务”、“技术</w:t>
      </w:r>
      <w:r>
        <w:rPr>
          <w:rFonts w:hint="eastAsia" w:ascii="宋体" w:hAnsi="宋体" w:eastAsia="宋体" w:cs="宋体"/>
          <w:spacing w:val="1"/>
          <w:sz w:val="24"/>
          <w:szCs w:val="24"/>
        </w:rPr>
        <w:t>服务”、“价格”及”磋商陈述”等方面进行磋商。</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(六) 授予合同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、合同授予标准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default" w:ascii="宋体" w:hAnsi="宋体" w:eastAsia="宋体" w:cs="宋体"/>
          <w:b/>
          <w:bCs/>
          <w:sz w:val="24"/>
          <w:szCs w:val="24"/>
          <w:lang w:val="en-US" w:eastAsia="zh-CN"/>
        </w:rPr>
      </w:pPr>
      <w:r>
        <w:rPr>
          <w:rFonts w:hint="eastAsia" w:ascii="宋体" w:hAnsi="宋体" w:eastAsia="宋体" w:cs="宋体"/>
          <w:spacing w:val="11"/>
          <w:sz w:val="24"/>
          <w:szCs w:val="24"/>
        </w:rPr>
        <w:t>采购人应将合同授予被确定为实质上响应磋商文件要求的，能够满意的履行合</w:t>
      </w:r>
      <w:r>
        <w:rPr>
          <w:rFonts w:hint="eastAsia" w:ascii="宋体" w:hAnsi="宋体" w:eastAsia="宋体" w:cs="宋体"/>
          <w:spacing w:val="12"/>
          <w:sz w:val="24"/>
          <w:szCs w:val="24"/>
        </w:rPr>
        <w:t>同</w:t>
      </w:r>
      <w:r>
        <w:rPr>
          <w:rFonts w:hint="eastAsia" w:ascii="宋体" w:hAnsi="宋体" w:eastAsia="宋体" w:cs="宋体"/>
          <w:spacing w:val="9"/>
          <w:sz w:val="24"/>
          <w:szCs w:val="24"/>
        </w:rPr>
        <w:t>义</w:t>
      </w:r>
      <w:r>
        <w:rPr>
          <w:rFonts w:hint="eastAsia" w:ascii="宋体" w:hAnsi="宋体" w:eastAsia="宋体" w:cs="宋体"/>
          <w:spacing w:val="6"/>
          <w:sz w:val="24"/>
          <w:szCs w:val="24"/>
        </w:rPr>
        <w:t>务、合理报价的投标人。</w:t>
      </w:r>
      <w:r>
        <w:rPr>
          <w:rFonts w:hint="eastAsia" w:ascii="宋体" w:hAnsi="宋体" w:eastAsia="宋体" w:cs="宋体"/>
          <w:b/>
          <w:bCs/>
          <w:spacing w:val="6"/>
          <w:sz w:val="24"/>
          <w:szCs w:val="24"/>
          <w:lang w:val="en-US" w:eastAsia="zh-CN"/>
        </w:rPr>
        <w:t>合同条款不得与招标文件规定内容偏离。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、授予合同时变更数量的权利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采购人在授予合同时，有权对磋商文件中规定的服务予以增加或减少。</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、成交通知</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.1 成交通知书</w:t>
      </w:r>
      <w:r>
        <w:rPr>
          <w:rFonts w:hint="eastAsia" w:ascii="宋体" w:hAnsi="宋体" w:eastAsia="宋体" w:cs="宋体"/>
          <w:spacing w:val="7"/>
          <w:sz w:val="24"/>
          <w:szCs w:val="24"/>
          <w:lang w:val="en-US" w:eastAsia="zh-CN"/>
        </w:rPr>
        <w:t>以现场领取和邮寄、邮件方式领取。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3</w:t>
      </w:r>
      <w:r>
        <w:rPr>
          <w:rFonts w:hint="eastAsia" w:ascii="宋体" w:hAnsi="宋体" w:eastAsia="宋体" w:cs="宋体"/>
          <w:spacing w:val="5"/>
          <w:sz w:val="24"/>
          <w:szCs w:val="24"/>
        </w:rPr>
        <w:t>.2 成交通知书将是合同的一个组成部分。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w:t>
      </w:r>
      <w:r>
        <w:rPr>
          <w:rFonts w:hint="eastAsia" w:ascii="宋体" w:hAnsi="宋体" w:eastAsia="宋体" w:cs="宋体"/>
          <w:spacing w:val="5"/>
          <w:sz w:val="24"/>
          <w:szCs w:val="24"/>
        </w:rPr>
        <w:t>3 招标</w:t>
      </w:r>
      <w:r>
        <w:rPr>
          <w:rFonts w:hint="eastAsia" w:ascii="宋体" w:hAnsi="宋体" w:eastAsia="宋体" w:cs="宋体"/>
          <w:spacing w:val="5"/>
          <w:sz w:val="24"/>
          <w:szCs w:val="24"/>
          <w:lang w:val="en-US" w:eastAsia="zh-CN"/>
        </w:rPr>
        <w:t>人</w:t>
      </w:r>
      <w:r>
        <w:rPr>
          <w:rFonts w:hint="eastAsia" w:ascii="宋体" w:hAnsi="宋体" w:eastAsia="宋体" w:cs="宋体"/>
          <w:spacing w:val="5"/>
          <w:sz w:val="24"/>
          <w:szCs w:val="24"/>
        </w:rPr>
        <w:t>对未成交原因不作任何解释。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、签订合同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4</w:t>
      </w:r>
      <w:r>
        <w:rPr>
          <w:rFonts w:hint="eastAsia" w:ascii="宋体" w:hAnsi="宋体" w:eastAsia="宋体" w:cs="宋体"/>
          <w:spacing w:val="11"/>
          <w:sz w:val="24"/>
          <w:szCs w:val="24"/>
        </w:rPr>
        <w:t>.1 采购人在与成交人签订正式合同前，对采购项目内容和服务等有增减变更的权</w:t>
      </w:r>
      <w:r>
        <w:rPr>
          <w:rFonts w:hint="eastAsia" w:ascii="宋体" w:hAnsi="宋体" w:eastAsia="宋体" w:cs="宋体"/>
          <w:spacing w:val="-1"/>
          <w:sz w:val="24"/>
          <w:szCs w:val="24"/>
        </w:rPr>
        <w:t>利</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.2 成交人接到成交通知书后须在30 日内在要求的时间、地点与采购人签定合同</w:t>
      </w:r>
      <w:r>
        <w:rPr>
          <w:rFonts w:hint="eastAsia" w:ascii="宋体" w:hAnsi="宋体" w:eastAsia="宋体" w:cs="宋体"/>
          <w:spacing w:val="-3"/>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、合同文件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除包括“磋商文件”规定的全部内容外，还应包括：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 与磋商采购有关的澄清、说明；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 投标人在磋商时随同磋商响应文件递交的资料与附图；</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 在商谈本合同书时,双方共同签字的补充文件；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 有关技术要求的补充内容。</w:t>
      </w:r>
    </w:p>
    <w:p>
      <w:pPr>
        <w:sectPr>
          <w:headerReference r:id="rId9" w:type="default"/>
          <w:footerReference r:id="rId10" w:type="default"/>
          <w:pgSz w:w="11905" w:h="16838"/>
          <w:pgMar w:top="1440" w:right="1803" w:bottom="1440" w:left="1803" w:header="0" w:footer="567" w:gutter="0"/>
          <w:pgNumType w:fmt="decimal"/>
          <w:cols w:space="0" w:num="1"/>
          <w:rtlGutter w:val="0"/>
          <w:docGrid w:linePitch="0" w:charSpace="0"/>
        </w:sectPr>
      </w:pPr>
    </w:p>
    <w:p>
      <w:pPr>
        <w:numPr>
          <w:ilvl w:val="0"/>
          <w:numId w:val="2"/>
        </w:numPr>
        <w:spacing w:before="130" w:line="219" w:lineRule="auto"/>
        <w:jc w:val="center"/>
        <w:outlineLvl w:val="0"/>
        <w:rPr>
          <w:rFonts w:hint="eastAsia" w:ascii="宋体" w:hAnsi="宋体" w:eastAsia="宋体" w:cs="宋体"/>
          <w:spacing w:val="4"/>
          <w:sz w:val="40"/>
          <w:szCs w:val="40"/>
          <w:lang w:val="en-US" w:eastAsia="zh-CN"/>
          <w14:textOutline w14:w="6537" w14:cap="sq" w14:cmpd="sng">
            <w14:solidFill>
              <w14:srgbClr w14:val="000000"/>
            </w14:solidFill>
            <w14:prstDash w14:val="solid"/>
            <w14:bevel/>
          </w14:textOutline>
        </w:rPr>
      </w:pPr>
      <w:bookmarkStart w:id="2" w:name="_bookmark3"/>
      <w:bookmarkEnd w:id="2"/>
      <w:bookmarkStart w:id="3" w:name="_Toc13350"/>
      <w:r>
        <w:rPr>
          <w:rFonts w:hint="eastAsia" w:ascii="宋体" w:hAnsi="宋体" w:eastAsia="宋体" w:cs="宋体"/>
          <w:spacing w:val="4"/>
          <w:sz w:val="40"/>
          <w:szCs w:val="40"/>
          <w:lang w:val="en-US" w:eastAsia="zh-CN"/>
          <w14:textOutline w14:w="6537" w14:cap="sq" w14:cmpd="sng">
            <w14:solidFill>
              <w14:srgbClr w14:val="000000"/>
            </w14:solidFill>
            <w14:prstDash w14:val="solid"/>
            <w14:bevel/>
          </w14:textOutline>
        </w:rPr>
        <w:t>技术要求</w:t>
      </w:r>
      <w:bookmarkEnd w:id="3"/>
    </w:p>
    <w:p>
      <w:pPr>
        <w:pStyle w:val="17"/>
        <w:numPr>
          <w:ilvl w:val="0"/>
          <w:numId w:val="0"/>
        </w:numPr>
        <w:rPr>
          <w:rFonts w:hint="default"/>
          <w:lang w:val="en-US" w:eastAsia="zh-CN"/>
        </w:rPr>
      </w:pPr>
    </w:p>
    <w:p>
      <w:pPr>
        <w:pStyle w:val="6"/>
        <w:spacing w:line="520" w:lineRule="exact"/>
        <w:jc w:val="center"/>
        <w:rPr>
          <w:rStyle w:val="30"/>
          <w:rFonts w:hint="eastAsia" w:ascii="Arial" w:hAnsi="Arial" w:cs="Arial"/>
          <w:b/>
          <w:sz w:val="44"/>
          <w:szCs w:val="44"/>
        </w:rPr>
      </w:pPr>
      <w:bookmarkStart w:id="4" w:name="_Toc2740"/>
    </w:p>
    <w:p>
      <w:pPr>
        <w:pStyle w:val="6"/>
        <w:spacing w:line="520" w:lineRule="exact"/>
        <w:jc w:val="center"/>
        <w:rPr>
          <w:rStyle w:val="30"/>
          <w:rFonts w:hint="eastAsia" w:ascii="Arial" w:hAnsi="Arial" w:cs="Arial"/>
          <w:b/>
          <w:sz w:val="44"/>
          <w:szCs w:val="44"/>
        </w:rPr>
      </w:pPr>
    </w:p>
    <w:p>
      <w:pPr>
        <w:pStyle w:val="6"/>
        <w:spacing w:line="520" w:lineRule="exact"/>
        <w:jc w:val="center"/>
        <w:rPr>
          <w:rStyle w:val="30"/>
          <w:rFonts w:hint="eastAsia" w:ascii="Arial" w:hAnsi="Arial" w:cs="Arial"/>
          <w:b/>
          <w:sz w:val="44"/>
          <w:szCs w:val="44"/>
        </w:rPr>
      </w:pPr>
    </w:p>
    <w:p>
      <w:pPr>
        <w:pStyle w:val="6"/>
        <w:spacing w:line="800" w:lineRule="exact"/>
        <w:jc w:val="center"/>
        <w:outlineLvl w:val="0"/>
        <w:rPr>
          <w:rStyle w:val="30"/>
          <w:rFonts w:hint="eastAsia" w:ascii="Arial" w:hAnsi="Arial" w:cs="Arial"/>
          <w:b/>
          <w:sz w:val="52"/>
          <w:szCs w:val="52"/>
        </w:rPr>
      </w:pPr>
      <w:bookmarkStart w:id="5" w:name="_Toc11554"/>
      <w:bookmarkStart w:id="6" w:name="_Toc13916"/>
      <w:bookmarkStart w:id="7" w:name="_Toc91"/>
      <w:bookmarkStart w:id="8" w:name="_Toc8642"/>
      <w:bookmarkStart w:id="9" w:name="_Toc13469"/>
      <w:bookmarkStart w:id="10" w:name="_Toc31388"/>
      <w:bookmarkStart w:id="11" w:name="_Toc29988"/>
      <w:bookmarkStart w:id="12" w:name="_Toc11956"/>
      <w:bookmarkStart w:id="13" w:name="_Toc13038"/>
      <w:bookmarkStart w:id="14" w:name="_Toc19029"/>
      <w:bookmarkStart w:id="15" w:name="_Toc750"/>
      <w:bookmarkStart w:id="16" w:name="_Toc30657"/>
      <w:bookmarkStart w:id="17" w:name="_Toc17560"/>
      <w:bookmarkStart w:id="18" w:name="_Toc26353"/>
      <w:bookmarkStart w:id="19" w:name="_Toc28296"/>
      <w:bookmarkStart w:id="20" w:name="_Toc20626"/>
      <w:bookmarkStart w:id="21" w:name="_Toc25787"/>
      <w:bookmarkStart w:id="22" w:name="_Toc16099"/>
      <w:bookmarkStart w:id="23" w:name="_Toc4944"/>
      <w:r>
        <w:rPr>
          <w:rStyle w:val="30"/>
          <w:rFonts w:hint="eastAsia" w:ascii="Arial" w:hAnsi="Arial" w:cs="Arial"/>
          <w:b/>
          <w:sz w:val="52"/>
          <w:szCs w:val="52"/>
        </w:rPr>
        <w:t>川楚联合国际工程有限公司</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6"/>
        <w:spacing w:line="800" w:lineRule="exact"/>
        <w:jc w:val="center"/>
        <w:outlineLvl w:val="0"/>
        <w:rPr>
          <w:rStyle w:val="30"/>
          <w:rFonts w:hint="eastAsia" w:ascii="Arial" w:hAnsi="Arial" w:eastAsia="宋体" w:cs="Arial"/>
          <w:b/>
          <w:sz w:val="40"/>
          <w:szCs w:val="40"/>
          <w:lang w:val="en-US" w:eastAsia="zh-CN"/>
        </w:rPr>
      </w:pPr>
      <w:bookmarkStart w:id="24" w:name="_Toc31476"/>
      <w:bookmarkStart w:id="25" w:name="_Toc15065"/>
      <w:bookmarkStart w:id="26" w:name="_Toc24700"/>
      <w:bookmarkStart w:id="27" w:name="_Toc6609"/>
      <w:bookmarkStart w:id="28" w:name="_Toc12114"/>
      <w:bookmarkStart w:id="29" w:name="_Toc26406"/>
      <w:bookmarkStart w:id="30" w:name="_Toc13814"/>
      <w:bookmarkStart w:id="31" w:name="_Toc28471"/>
      <w:bookmarkStart w:id="32" w:name="_Toc15323"/>
      <w:bookmarkStart w:id="33" w:name="_Toc6578"/>
      <w:bookmarkStart w:id="34" w:name="_Toc7859"/>
      <w:bookmarkStart w:id="35" w:name="_Toc12266"/>
      <w:bookmarkStart w:id="36" w:name="_Toc12294"/>
      <w:bookmarkStart w:id="37" w:name="_Toc6300"/>
      <w:bookmarkStart w:id="38" w:name="_Toc18990"/>
      <w:bookmarkStart w:id="39" w:name="_Toc23350"/>
      <w:bookmarkStart w:id="40" w:name="_Toc8533"/>
      <w:bookmarkStart w:id="41" w:name="_Toc27768"/>
      <w:bookmarkStart w:id="42" w:name="_Toc13196"/>
      <w:r>
        <w:rPr>
          <w:rStyle w:val="30"/>
          <w:rFonts w:hint="eastAsia" w:ascii="Arial" w:hAnsi="Arial" w:eastAsia="宋体" w:cs="Arial"/>
          <w:b/>
          <w:sz w:val="40"/>
          <w:szCs w:val="40"/>
          <w:lang w:val="en-US" w:eastAsia="zh-CN"/>
        </w:rPr>
        <w:t>清真牛羊肉精深加工与清真预制菜加工项目《</w:t>
      </w:r>
      <w:bookmarkEnd w:id="24"/>
      <w:bookmarkEnd w:id="25"/>
      <w:r>
        <w:rPr>
          <w:rStyle w:val="30"/>
          <w:rFonts w:hint="eastAsia" w:ascii="Arial" w:hAnsi="Arial" w:eastAsia="宋体" w:cs="Arial"/>
          <w:b/>
          <w:sz w:val="40"/>
          <w:szCs w:val="40"/>
          <w:lang w:val="en-US" w:eastAsia="zh-CN"/>
        </w:rPr>
        <w:t>污水处理成套设备采购》</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6"/>
        <w:spacing w:line="520" w:lineRule="exact"/>
        <w:jc w:val="center"/>
        <w:rPr>
          <w:rStyle w:val="30"/>
          <w:rFonts w:hint="eastAsia" w:ascii="Arial" w:hAnsi="Arial" w:cs="Arial"/>
          <w:b/>
          <w:sz w:val="44"/>
          <w:szCs w:val="44"/>
        </w:rPr>
      </w:pPr>
    </w:p>
    <w:p>
      <w:pPr>
        <w:pStyle w:val="6"/>
        <w:spacing w:line="520" w:lineRule="exact"/>
        <w:ind w:firstLine="3231" w:firstLineChars="621"/>
        <w:jc w:val="center"/>
        <w:rPr>
          <w:rStyle w:val="30"/>
          <w:rFonts w:ascii="Arial" w:hAnsi="Arial" w:cs="Arial"/>
          <w:b/>
          <w:sz w:val="52"/>
          <w:szCs w:val="44"/>
        </w:rPr>
      </w:pPr>
    </w:p>
    <w:p>
      <w:pPr>
        <w:pStyle w:val="6"/>
        <w:spacing w:line="520" w:lineRule="exact"/>
        <w:ind w:firstLine="0"/>
        <w:rPr>
          <w:rStyle w:val="30"/>
          <w:rFonts w:ascii="Arial" w:hAnsi="Arial" w:cs="Arial"/>
          <w:b/>
          <w:sz w:val="52"/>
          <w:szCs w:val="44"/>
        </w:rPr>
      </w:pPr>
    </w:p>
    <w:p>
      <w:pPr>
        <w:pStyle w:val="6"/>
        <w:spacing w:line="520" w:lineRule="exact"/>
        <w:ind w:firstLine="0"/>
        <w:rPr>
          <w:rStyle w:val="30"/>
          <w:rFonts w:ascii="Arial" w:hAnsi="Arial" w:cs="Arial"/>
          <w:b/>
          <w:sz w:val="52"/>
          <w:szCs w:val="44"/>
        </w:rPr>
      </w:pPr>
    </w:p>
    <w:p>
      <w:pPr>
        <w:pStyle w:val="6"/>
        <w:spacing w:line="520" w:lineRule="exact"/>
        <w:ind w:firstLine="0"/>
        <w:rPr>
          <w:rStyle w:val="30"/>
          <w:rFonts w:ascii="Arial" w:hAnsi="Arial" w:cs="Arial"/>
          <w:b/>
          <w:sz w:val="52"/>
          <w:szCs w:val="44"/>
        </w:rPr>
      </w:pPr>
    </w:p>
    <w:p>
      <w:pPr>
        <w:pStyle w:val="6"/>
        <w:spacing w:line="520" w:lineRule="exact"/>
        <w:ind w:firstLine="0"/>
        <w:jc w:val="center"/>
        <w:rPr>
          <w:rStyle w:val="30"/>
          <w:rFonts w:hint="eastAsia" w:ascii="Arial" w:hAnsi="Arial" w:cs="Arial"/>
          <w:b/>
          <w:sz w:val="52"/>
          <w:szCs w:val="44"/>
        </w:rPr>
      </w:pPr>
      <w:r>
        <w:rPr>
          <w:rStyle w:val="30"/>
          <w:rFonts w:ascii="Arial" w:hAnsi="Arial" w:cs="Arial"/>
          <w:b/>
          <w:sz w:val="52"/>
          <w:szCs w:val="44"/>
        </w:rPr>
        <w:t>&lt;技术</w:t>
      </w:r>
      <w:r>
        <w:rPr>
          <w:rStyle w:val="30"/>
          <w:rFonts w:hint="eastAsia" w:ascii="Arial" w:hAnsi="Arial" w:cs="Arial"/>
          <w:b/>
          <w:sz w:val="52"/>
          <w:szCs w:val="44"/>
        </w:rPr>
        <w:t>说明</w:t>
      </w:r>
      <w:r>
        <w:rPr>
          <w:rStyle w:val="30"/>
          <w:rFonts w:ascii="Arial" w:hAnsi="Arial" w:cs="Arial"/>
          <w:b/>
          <w:sz w:val="52"/>
          <w:szCs w:val="44"/>
        </w:rPr>
        <w:t>&gt;</w:t>
      </w:r>
    </w:p>
    <w:p>
      <w:pPr>
        <w:pStyle w:val="6"/>
        <w:spacing w:line="520" w:lineRule="exact"/>
        <w:ind w:firstLine="0"/>
        <w:jc w:val="left"/>
        <w:rPr>
          <w:rStyle w:val="30"/>
          <w:rFonts w:ascii="宋体" w:hAnsi="宋体" w:cs="宋体"/>
          <w:b/>
          <w:sz w:val="24"/>
        </w:rPr>
      </w:pPr>
    </w:p>
    <w:p>
      <w:pPr>
        <w:pStyle w:val="6"/>
        <w:spacing w:line="520" w:lineRule="exact"/>
        <w:ind w:firstLine="0"/>
        <w:jc w:val="left"/>
        <w:rPr>
          <w:rStyle w:val="30"/>
          <w:rFonts w:hint="eastAsia" w:ascii="宋体" w:hAnsi="宋体" w:cs="宋体"/>
          <w:b/>
          <w:sz w:val="24"/>
        </w:rPr>
      </w:pPr>
    </w:p>
    <w:p>
      <w:pPr>
        <w:pStyle w:val="6"/>
        <w:spacing w:line="520" w:lineRule="exact"/>
        <w:ind w:firstLine="0"/>
        <w:jc w:val="left"/>
        <w:rPr>
          <w:rStyle w:val="30"/>
          <w:rFonts w:hint="eastAsia" w:ascii="宋体" w:hAnsi="宋体" w:cs="宋体"/>
          <w:b/>
          <w:sz w:val="24"/>
        </w:rPr>
      </w:pPr>
    </w:p>
    <w:p>
      <w:pPr>
        <w:spacing w:line="360" w:lineRule="auto"/>
        <w:rPr>
          <w:rFonts w:hint="eastAsia" w:ascii="宋体" w:hAnsi="宋体" w:cs="宋体"/>
          <w:b/>
          <w:bCs/>
        </w:rPr>
      </w:pPr>
    </w:p>
    <w:p>
      <w:pPr>
        <w:spacing w:line="360" w:lineRule="auto"/>
        <w:ind w:firstLine="1666" w:firstLineChars="793"/>
        <w:rPr>
          <w:rFonts w:hint="eastAsia" w:ascii="宋体" w:hAnsi="宋体" w:cs="宋体"/>
          <w:b/>
          <w:bCs/>
        </w:rPr>
      </w:pPr>
    </w:p>
    <w:p>
      <w:pPr>
        <w:spacing w:line="360" w:lineRule="auto"/>
        <w:ind w:firstLine="1666" w:firstLineChars="793"/>
        <w:rPr>
          <w:rFonts w:hint="eastAsia" w:ascii="宋体" w:hAnsi="宋体" w:cs="宋体"/>
          <w:b/>
          <w:bCs/>
        </w:rPr>
      </w:pPr>
    </w:p>
    <w:p>
      <w:pPr>
        <w:spacing w:line="360" w:lineRule="auto"/>
        <w:rPr>
          <w:rFonts w:hint="eastAsia" w:ascii="宋体" w:hAnsi="宋体" w:cs="宋体"/>
          <w:b/>
          <w:bCs/>
        </w:rPr>
      </w:pPr>
    </w:p>
    <w:p>
      <w:pPr>
        <w:spacing w:line="600" w:lineRule="exact"/>
        <w:jc w:val="center"/>
        <w:outlineLvl w:val="0"/>
        <w:rPr>
          <w:rFonts w:hint="eastAsia" w:ascii="宋体" w:hAnsi="宋体" w:cs="宋体"/>
          <w:b/>
          <w:bCs/>
          <w:sz w:val="32"/>
          <w:szCs w:val="32"/>
          <w:lang w:val="en-US"/>
        </w:rPr>
      </w:pPr>
      <w:bookmarkStart w:id="43" w:name="_Toc29980"/>
      <w:bookmarkStart w:id="44" w:name="_Toc14808"/>
      <w:bookmarkStart w:id="45" w:name="_Toc22091"/>
      <w:bookmarkStart w:id="46" w:name="_Toc20816"/>
      <w:bookmarkStart w:id="47" w:name="_Toc3067"/>
      <w:bookmarkStart w:id="48" w:name="_Toc26418"/>
      <w:bookmarkStart w:id="49" w:name="_Toc6350"/>
      <w:bookmarkStart w:id="50" w:name="_Toc27548"/>
      <w:bookmarkStart w:id="51" w:name="_Toc25974"/>
      <w:bookmarkStart w:id="52" w:name="_Toc25317"/>
      <w:bookmarkStart w:id="53" w:name="_Toc8946"/>
      <w:bookmarkStart w:id="54" w:name="_Toc32706"/>
      <w:bookmarkStart w:id="55" w:name="_Toc25025"/>
      <w:bookmarkStart w:id="56" w:name="_Toc24526"/>
      <w:bookmarkStart w:id="57" w:name="_Toc17254"/>
      <w:bookmarkStart w:id="58" w:name="_Toc10541"/>
      <w:bookmarkStart w:id="59" w:name="_Toc20783"/>
      <w:r>
        <w:rPr>
          <w:rFonts w:hint="eastAsia" w:ascii="宋体" w:hAnsi="宋体" w:cs="宋体"/>
          <w:b/>
          <w:bCs/>
          <w:sz w:val="32"/>
          <w:szCs w:val="32"/>
          <w:lang w:val="en-US"/>
        </w:rPr>
        <w:t>川楚联合国际工程有限公司</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jc w:val="center"/>
        <w:rPr>
          <w:rFonts w:hint="eastAsia" w:ascii="宋体" w:hAnsi="宋体" w:cs="宋体"/>
          <w:b/>
          <w:bCs/>
          <w:sz w:val="32"/>
          <w:szCs w:val="32"/>
        </w:rPr>
      </w:pPr>
      <w:r>
        <w:rPr>
          <w:rFonts w:hint="eastAsia" w:ascii="宋体" w:hAnsi="宋体" w:cs="宋体"/>
          <w:b/>
          <w:bCs/>
          <w:sz w:val="32"/>
          <w:szCs w:val="32"/>
        </w:rPr>
        <w:t>日期：202</w:t>
      </w:r>
      <w:r>
        <w:rPr>
          <w:rFonts w:hint="eastAsia" w:ascii="宋体" w:hAnsi="宋体" w:cs="宋体"/>
          <w:b/>
          <w:bCs/>
          <w:sz w:val="32"/>
          <w:szCs w:val="32"/>
          <w:lang w:val="en-US"/>
        </w:rPr>
        <w:t>3</w:t>
      </w:r>
      <w:r>
        <w:rPr>
          <w:rFonts w:hint="eastAsia" w:ascii="宋体" w:hAnsi="宋体" w:cs="宋体"/>
          <w:b/>
          <w:bCs/>
          <w:sz w:val="32"/>
          <w:szCs w:val="32"/>
        </w:rPr>
        <w:t>年</w:t>
      </w:r>
      <w:r>
        <w:rPr>
          <w:rFonts w:hint="eastAsia" w:ascii="宋体" w:hAnsi="宋体" w:cs="宋体"/>
          <w:b/>
          <w:bCs/>
          <w:sz w:val="32"/>
          <w:szCs w:val="32"/>
          <w:lang w:val="en-US" w:eastAsia="zh-CN"/>
        </w:rPr>
        <w:t>12</w:t>
      </w:r>
      <w:r>
        <w:rPr>
          <w:rFonts w:hint="eastAsia" w:ascii="宋体" w:hAnsi="宋体" w:cs="宋体"/>
          <w:b/>
          <w:bCs/>
          <w:sz w:val="32"/>
          <w:szCs w:val="32"/>
        </w:rPr>
        <w:t>月</w:t>
      </w:r>
    </w:p>
    <w:p>
      <w:pPr>
        <w:jc w:val="center"/>
        <w:rPr>
          <w:rFonts w:hint="eastAsia" w:ascii="宋体" w:hAnsi="宋体" w:cs="宋体"/>
          <w:b/>
          <w:bCs/>
          <w:sz w:val="32"/>
          <w:szCs w:val="32"/>
        </w:rPr>
      </w:pPr>
    </w:p>
    <w:p>
      <w:pPr>
        <w:spacing w:line="360" w:lineRule="auto"/>
        <w:jc w:val="center"/>
      </w:pPr>
    </w:p>
    <w:p>
      <w:pPr>
        <w:pStyle w:val="3"/>
        <w:spacing w:line="360" w:lineRule="auto"/>
        <w:rPr>
          <w:rFonts w:hint="eastAsia" w:ascii="宋体" w:hAnsi="宋体" w:cs="宋体"/>
          <w:lang w:val="en-US" w:eastAsia="zh-CN"/>
        </w:rPr>
        <w:sectPr>
          <w:headerReference r:id="rId11" w:type="default"/>
          <w:footerReference r:id="rId12" w:type="default"/>
          <w:pgSz w:w="11906" w:h="16838"/>
          <w:pgMar w:top="1134" w:right="1800" w:bottom="1134" w:left="1800" w:header="510" w:footer="992" w:gutter="0"/>
          <w:pgNumType w:fmt="decimal"/>
          <w:cols w:space="720" w:num="1"/>
          <w:docGrid w:type="lines" w:linePitch="312" w:charSpace="0"/>
        </w:sectPr>
      </w:pPr>
      <w:bookmarkStart w:id="60" w:name="_Toc21704"/>
      <w:bookmarkStart w:id="61" w:name="_Toc19985"/>
      <w:bookmarkStart w:id="62" w:name="_Toc4717"/>
      <w:bookmarkStart w:id="63" w:name="_Toc5092"/>
      <w:bookmarkStart w:id="64" w:name="_Toc14044"/>
      <w:bookmarkStart w:id="65" w:name="_Toc3202"/>
      <w:bookmarkStart w:id="66" w:name="_Toc488"/>
      <w:bookmarkStart w:id="67" w:name="_Toc22574"/>
      <w:bookmarkStart w:id="68" w:name="_Toc9287"/>
      <w:bookmarkStart w:id="69" w:name="_Toc24586"/>
      <w:bookmarkStart w:id="70" w:name="_Toc4270"/>
      <w:bookmarkStart w:id="71" w:name="_Toc25124"/>
      <w:bookmarkStart w:id="72" w:name="_Toc12952"/>
    </w:p>
    <w:p>
      <w:pPr>
        <w:jc w:val="center"/>
        <w:rPr>
          <w:sz w:val="32"/>
          <w:szCs w:val="32"/>
        </w:rPr>
      </w:pPr>
      <w:r>
        <w:rPr>
          <w:rFonts w:ascii="宋体" w:hAnsi="宋体"/>
          <w:sz w:val="32"/>
          <w:szCs w:val="32"/>
        </w:rPr>
        <w:t>目录</w:t>
      </w:r>
    </w:p>
    <w:p>
      <w:pPr>
        <w:pStyle w:val="23"/>
        <w:tabs>
          <w:tab w:val="right" w:leader="dot" w:pos="8306"/>
        </w:tabs>
        <w:spacing w:line="600" w:lineRule="auto"/>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p>
    <w:p>
      <w:pPr>
        <w:pStyle w:val="23"/>
        <w:tabs>
          <w:tab w:val="right" w:leader="dot" w:pos="8306"/>
        </w:tabs>
        <w:spacing w:line="48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_Toc23978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项目</w:t>
      </w:r>
      <w:r>
        <w:rPr>
          <w:rFonts w:hint="eastAsia" w:ascii="宋体" w:hAnsi="宋体" w:cs="宋体"/>
          <w:sz w:val="24"/>
          <w:szCs w:val="24"/>
        </w:rPr>
        <w:t>简介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_Toc23978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_Toc29579 </w:instrText>
      </w:r>
      <w:r>
        <w:rPr>
          <w:rFonts w:hint="eastAsia" w:ascii="宋体" w:hAnsi="宋体" w:cs="宋体"/>
          <w:sz w:val="24"/>
          <w:szCs w:val="24"/>
        </w:rPr>
        <w:fldChar w:fldCharType="separate"/>
      </w:r>
      <w:r>
        <w:rPr>
          <w:rFonts w:hint="eastAsia" w:ascii="宋体" w:hAnsi="宋体" w:cs="宋体"/>
          <w:sz w:val="24"/>
          <w:szCs w:val="24"/>
        </w:rPr>
        <w:t>2.设计进出水水质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_Toc29579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_Toc24013 </w:instrText>
      </w:r>
      <w:r>
        <w:rPr>
          <w:rFonts w:hint="eastAsia" w:ascii="宋体" w:hAnsi="宋体" w:cs="宋体"/>
          <w:sz w:val="24"/>
          <w:szCs w:val="24"/>
        </w:rPr>
        <w:fldChar w:fldCharType="separate"/>
      </w:r>
      <w:r>
        <w:rPr>
          <w:rFonts w:hint="eastAsia" w:ascii="宋体" w:hAnsi="宋体" w:cs="宋体"/>
          <w:sz w:val="24"/>
          <w:szCs w:val="24"/>
        </w:rPr>
        <w:t>3.设备描述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_Toc24013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_Toc2438 </w:instrText>
      </w:r>
      <w:r>
        <w:rPr>
          <w:rFonts w:hint="eastAsia" w:ascii="宋体" w:hAnsi="宋体" w:cs="宋体"/>
          <w:sz w:val="24"/>
          <w:szCs w:val="24"/>
        </w:rPr>
        <w:fldChar w:fldCharType="separate"/>
      </w:r>
      <w:r>
        <w:rPr>
          <w:rFonts w:hint="eastAsia" w:ascii="宋体" w:hAnsi="宋体" w:cs="宋体"/>
          <w:sz w:val="24"/>
          <w:szCs w:val="24"/>
        </w:rPr>
        <w:t>4、法律法规</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_Toc2438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_Toc29010 </w:instrText>
      </w:r>
      <w:r>
        <w:rPr>
          <w:rFonts w:hint="eastAsia" w:ascii="宋体" w:hAnsi="宋体" w:cs="宋体"/>
          <w:sz w:val="24"/>
          <w:szCs w:val="24"/>
        </w:rPr>
        <w:fldChar w:fldCharType="separate"/>
      </w:r>
      <w:r>
        <w:rPr>
          <w:rFonts w:hint="eastAsia" w:ascii="宋体" w:hAnsi="宋体" w:cs="宋体"/>
          <w:bCs/>
          <w:sz w:val="24"/>
          <w:szCs w:val="24"/>
        </w:rPr>
        <w:t>5.</w:t>
      </w:r>
      <w:r>
        <w:rPr>
          <w:rFonts w:hint="eastAsia" w:ascii="宋体" w:hAnsi="宋体" w:cs="宋体"/>
          <w:bCs/>
          <w:sz w:val="24"/>
          <w:szCs w:val="24"/>
          <w:lang w:val="en-GB"/>
        </w:rPr>
        <w:t>项目</w:t>
      </w:r>
      <w:r>
        <w:rPr>
          <w:rFonts w:hint="eastAsia" w:ascii="宋体" w:hAnsi="宋体" w:cs="宋体"/>
          <w:bCs/>
          <w:sz w:val="24"/>
          <w:szCs w:val="24"/>
        </w:rPr>
        <w:t>设备</w:t>
      </w:r>
      <w:r>
        <w:rPr>
          <w:rFonts w:hint="eastAsia" w:ascii="宋体" w:hAnsi="宋体" w:cs="宋体"/>
          <w:bCs/>
          <w:sz w:val="24"/>
          <w:szCs w:val="24"/>
          <w:lang w:val="en-GB"/>
        </w:rPr>
        <w:t>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_Toc29010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_Toc27895 </w:instrText>
      </w:r>
      <w:r>
        <w:rPr>
          <w:rFonts w:hint="eastAsia" w:ascii="宋体" w:hAnsi="宋体" w:cs="宋体"/>
          <w:sz w:val="24"/>
          <w:szCs w:val="24"/>
        </w:rPr>
        <w:fldChar w:fldCharType="separate"/>
      </w:r>
      <w:r>
        <w:rPr>
          <w:rFonts w:hint="eastAsia" w:ascii="宋体" w:hAnsi="宋体" w:cs="宋体"/>
          <w:sz w:val="24"/>
          <w:szCs w:val="24"/>
        </w:rPr>
        <w:t>6.质量及技术标准要求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_Toc27895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_Toc20103 </w:instrText>
      </w:r>
      <w:r>
        <w:rPr>
          <w:rFonts w:hint="eastAsia" w:ascii="宋体" w:hAnsi="宋体" w:cs="宋体"/>
          <w:sz w:val="24"/>
          <w:szCs w:val="24"/>
        </w:rPr>
        <w:fldChar w:fldCharType="separate"/>
      </w:r>
      <w:r>
        <w:rPr>
          <w:rFonts w:hint="eastAsia" w:ascii="宋体" w:hAnsi="宋体" w:cs="宋体"/>
          <w:sz w:val="24"/>
          <w:szCs w:val="24"/>
        </w:rPr>
        <w:t>7.包装标准及运输</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_Toc20103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_Toc29461 </w:instrText>
      </w:r>
      <w:r>
        <w:rPr>
          <w:rFonts w:hint="eastAsia" w:ascii="宋体" w:hAnsi="宋体" w:cs="宋体"/>
          <w:sz w:val="24"/>
          <w:szCs w:val="24"/>
        </w:rPr>
        <w:fldChar w:fldCharType="separate"/>
      </w:r>
      <w:r>
        <w:rPr>
          <w:rFonts w:hint="eastAsia" w:ascii="宋体" w:hAnsi="宋体" w:cs="宋体"/>
          <w:sz w:val="24"/>
          <w:szCs w:val="24"/>
        </w:rPr>
        <w:t>8.设备保证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_Toc29461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_Toc8151 </w:instrText>
      </w:r>
      <w:r>
        <w:rPr>
          <w:rFonts w:hint="eastAsia" w:ascii="宋体" w:hAnsi="宋体" w:cs="宋体"/>
          <w:sz w:val="24"/>
          <w:szCs w:val="24"/>
        </w:rPr>
        <w:fldChar w:fldCharType="separate"/>
      </w:r>
      <w:r>
        <w:rPr>
          <w:rFonts w:hint="eastAsia" w:ascii="宋体" w:hAnsi="宋体" w:cs="宋体"/>
          <w:sz w:val="24"/>
          <w:szCs w:val="24"/>
        </w:rPr>
        <w:t>9.安装、调试及培训</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_Toc8151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_Toc7229 </w:instrText>
      </w:r>
      <w:r>
        <w:rPr>
          <w:rFonts w:hint="eastAsia" w:ascii="宋体" w:hAnsi="宋体" w:cs="宋体"/>
          <w:sz w:val="24"/>
          <w:szCs w:val="24"/>
        </w:rPr>
        <w:fldChar w:fldCharType="separate"/>
      </w:r>
      <w:r>
        <w:rPr>
          <w:rFonts w:hint="eastAsia" w:ascii="宋体" w:hAnsi="宋体" w:cs="宋体"/>
          <w:sz w:val="24"/>
          <w:szCs w:val="24"/>
        </w:rPr>
        <w:t>10.设备验收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_Toc7229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_Toc26933 </w:instrText>
      </w:r>
      <w:r>
        <w:rPr>
          <w:rFonts w:hint="eastAsia" w:ascii="宋体" w:hAnsi="宋体" w:cs="宋体"/>
          <w:sz w:val="24"/>
          <w:szCs w:val="24"/>
        </w:rPr>
        <w:fldChar w:fldCharType="separate"/>
      </w:r>
      <w:r>
        <w:rPr>
          <w:rFonts w:hint="eastAsia" w:ascii="宋体" w:hAnsi="宋体" w:cs="宋体"/>
          <w:sz w:val="24"/>
          <w:szCs w:val="24"/>
        </w:rPr>
        <w:t>11.质量保证期（若有保修手册的，请注明并列为附件）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_Toc26933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_Toc7489 </w:instrText>
      </w:r>
      <w:r>
        <w:rPr>
          <w:rFonts w:hint="eastAsia" w:ascii="宋体" w:hAnsi="宋体" w:cs="宋体"/>
          <w:sz w:val="24"/>
          <w:szCs w:val="24"/>
        </w:rPr>
        <w:fldChar w:fldCharType="separate"/>
      </w:r>
      <w:r>
        <w:rPr>
          <w:rFonts w:hint="eastAsia" w:ascii="宋体" w:hAnsi="宋体" w:cs="宋体"/>
          <w:bCs/>
          <w:sz w:val="24"/>
          <w:szCs w:val="24"/>
        </w:rPr>
        <w:t>12.知识产权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_Toc7489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_Toc19445 </w:instrText>
      </w:r>
      <w:r>
        <w:rPr>
          <w:rFonts w:hint="eastAsia" w:ascii="宋体" w:hAnsi="宋体" w:cs="宋体"/>
          <w:sz w:val="24"/>
          <w:szCs w:val="24"/>
        </w:rPr>
        <w:fldChar w:fldCharType="separate"/>
      </w:r>
      <w:r>
        <w:rPr>
          <w:rFonts w:hint="eastAsia" w:ascii="宋体" w:hAnsi="宋体" w:cs="宋体"/>
          <w:sz w:val="24"/>
          <w:szCs w:val="24"/>
        </w:rPr>
        <w:t>13.工厂验收（FAT）要求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_Toc19445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23"/>
        <w:tabs>
          <w:tab w:val="right" w:leader="dot" w:pos="8306"/>
        </w:tabs>
        <w:spacing w:line="600" w:lineRule="auto"/>
      </w:pPr>
      <w:r>
        <w:rPr>
          <w:rFonts w:hint="eastAsia" w:ascii="宋体" w:hAnsi="宋体" w:cs="宋体"/>
          <w:sz w:val="24"/>
          <w:szCs w:val="24"/>
        </w:rPr>
        <w:fldChar w:fldCharType="begin"/>
      </w:r>
      <w:r>
        <w:rPr>
          <w:rFonts w:hint="eastAsia" w:ascii="宋体" w:hAnsi="宋体" w:cs="宋体"/>
          <w:sz w:val="24"/>
          <w:szCs w:val="24"/>
        </w:rPr>
        <w:instrText xml:space="preserve"> HYPERLINK \l _Toc19525 </w:instrText>
      </w:r>
      <w:r>
        <w:rPr>
          <w:rFonts w:hint="eastAsia" w:ascii="宋体" w:hAnsi="宋体" w:cs="宋体"/>
          <w:sz w:val="24"/>
          <w:szCs w:val="24"/>
        </w:rPr>
        <w:fldChar w:fldCharType="separate"/>
      </w:r>
      <w:r>
        <w:rPr>
          <w:rFonts w:hint="eastAsia" w:ascii="宋体" w:hAnsi="宋体" w:cs="宋体"/>
          <w:sz w:val="24"/>
          <w:szCs w:val="24"/>
        </w:rPr>
        <w:t>14.供应商要求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_Toc19525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3"/>
        <w:spacing w:line="600" w:lineRule="auto"/>
        <w:rPr>
          <w:rFonts w:hint="eastAsia" w:ascii="宋体" w:hAnsi="宋体" w:cs="宋体"/>
          <w:lang w:val="en-US" w:eastAsia="zh-CN"/>
        </w:rPr>
        <w:sectPr>
          <w:pgSz w:w="11906" w:h="16838"/>
          <w:pgMar w:top="1134" w:right="1800" w:bottom="1134" w:left="1800" w:header="510" w:footer="992" w:gutter="0"/>
          <w:pgNumType w:fmt="decimal"/>
          <w:cols w:space="720" w:num="1"/>
          <w:docGrid w:type="lines" w:linePitch="312" w:charSpace="0"/>
        </w:sectPr>
      </w:pPr>
      <w:r>
        <w:rPr>
          <w:rFonts w:hint="eastAsia" w:ascii="宋体" w:hAnsi="宋体" w:cs="宋体"/>
          <w:lang w:val="en-US" w:eastAsia="zh-CN"/>
        </w:rPr>
        <w:fldChar w:fldCharType="end"/>
      </w:r>
    </w:p>
    <w:p>
      <w:pPr>
        <w:pStyle w:val="3"/>
        <w:spacing w:line="360" w:lineRule="auto"/>
        <w:rPr>
          <w:rFonts w:hint="eastAsia" w:ascii="宋体" w:hAnsi="宋体" w:cs="宋体"/>
          <w:sz w:val="24"/>
          <w:szCs w:val="24"/>
          <w:lang w:val="en-US" w:eastAsia="zh-CN"/>
        </w:rPr>
      </w:pPr>
      <w:bookmarkStart w:id="73" w:name="_Toc23978"/>
      <w:bookmarkStart w:id="74" w:name="_Toc28526"/>
      <w:bookmarkStart w:id="75" w:name="_Toc17791"/>
      <w:r>
        <w:rPr>
          <w:rFonts w:hint="eastAsia" w:ascii="宋体" w:hAnsi="宋体" w:cs="宋体"/>
          <w:sz w:val="24"/>
          <w:szCs w:val="24"/>
          <w:lang w:val="en-US" w:eastAsia="zh-CN"/>
        </w:rPr>
        <w:t>1.项目简介</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default"/>
          <w:sz w:val="24"/>
          <w:szCs w:val="24"/>
          <w:lang w:val="en-US" w:eastAsia="zh-CN"/>
        </w:rPr>
      </w:pPr>
      <w:bookmarkStart w:id="76" w:name="_Toc8155"/>
      <w:bookmarkStart w:id="77" w:name="_Toc30506"/>
      <w:bookmarkStart w:id="78" w:name="_Toc10914"/>
      <w:bookmarkStart w:id="79" w:name="_Toc29579"/>
      <w:bookmarkStart w:id="80" w:name="_Toc27258"/>
      <w:bookmarkStart w:id="81" w:name="_Toc41"/>
      <w:bookmarkStart w:id="82" w:name="_Toc1167"/>
      <w:bookmarkStart w:id="83" w:name="_Toc5544"/>
      <w:bookmarkStart w:id="84" w:name="_Toc3577"/>
      <w:bookmarkStart w:id="85" w:name="_Toc5143"/>
      <w:bookmarkStart w:id="86" w:name="_Toc2296"/>
      <w:bookmarkStart w:id="87" w:name="_Toc5599"/>
      <w:bookmarkStart w:id="88" w:name="_Toc1025"/>
      <w:bookmarkStart w:id="89" w:name="_Toc3712"/>
      <w:bookmarkStart w:id="90" w:name="_Toc10879"/>
      <w:bookmarkStart w:id="91" w:name="_Toc14588"/>
      <w:r>
        <w:rPr>
          <w:rFonts w:hint="eastAsia" w:ascii="宋体" w:hAnsi="宋体" w:eastAsia="宋体" w:cs="宋体"/>
          <w:spacing w:val="8"/>
          <w:position w:val="1"/>
          <w:sz w:val="24"/>
          <w:szCs w:val="24"/>
        </w:rPr>
        <w:t>清真牛羊肉精深加工与清真预制菜加工项目为惠发（临夏州）食品供应链科技有限公司在甘肃省临夏州临夏县实施。本项目为改建工程，项目计划利用分拣加工中心，改建内容分为两块：（1）一层北侧区域改建为清真牛羊肉精深加工车间；（2）一层南侧区域和二层整层改建为清真预制菜加工车间。改建面积：总建筑面积22466.90m²，其中牛羊肉精深加工车间4160.00㎡，预制菜加工车间18306.90㎡。生产规模：年产牛羊肉精深加工产品13500吨，预制菜产品26500吨，总计40000吨产品。</w:t>
      </w:r>
    </w:p>
    <w:p>
      <w:pPr>
        <w:pStyle w:val="3"/>
        <w:spacing w:line="360" w:lineRule="auto"/>
        <w:rPr>
          <w:rFonts w:hint="eastAsia" w:ascii="宋体" w:hAnsi="宋体" w:cs="宋体"/>
          <w:sz w:val="24"/>
          <w:szCs w:val="24"/>
          <w:lang w:val="en-US" w:eastAsia="zh-CN"/>
        </w:rPr>
      </w:pPr>
      <w:bookmarkStart w:id="92" w:name="_Toc28240"/>
      <w:bookmarkStart w:id="93" w:name="_Toc16839"/>
      <w:r>
        <w:rPr>
          <w:rFonts w:hint="eastAsia" w:ascii="宋体" w:hAnsi="宋体" w:cs="宋体"/>
          <w:sz w:val="24"/>
          <w:szCs w:val="24"/>
          <w:lang w:val="en-US" w:eastAsia="zh-CN"/>
        </w:rPr>
        <w:t>2.</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宋体" w:hAnsi="宋体" w:cs="宋体"/>
          <w:sz w:val="24"/>
          <w:szCs w:val="24"/>
          <w:lang w:val="en-US" w:eastAsia="zh-CN"/>
        </w:rPr>
        <w:t>设计进出水水质</w:t>
      </w:r>
      <w:bookmarkEnd w:id="92"/>
      <w:bookmarkEnd w:id="93"/>
    </w:p>
    <w:p>
      <w:pPr>
        <w:widowControl/>
        <w:adjustRightInd w:val="0"/>
        <w:snapToGrid w:val="0"/>
        <w:spacing w:line="360" w:lineRule="auto"/>
        <w:ind w:firstLine="480" w:firstLineChars="200"/>
        <w:jc w:val="left"/>
        <w:rPr>
          <w:rFonts w:hint="eastAsia" w:ascii="宋体" w:hAnsi="宋体" w:cs="宋体"/>
          <w:sz w:val="24"/>
          <w:szCs w:val="24"/>
          <w:lang w:val="en-US"/>
        </w:rPr>
      </w:pPr>
      <w:r>
        <w:rPr>
          <w:rFonts w:hint="eastAsia" w:ascii="宋体" w:hAnsi="宋体" w:cs="宋体"/>
          <w:sz w:val="24"/>
          <w:szCs w:val="24"/>
          <w:lang w:val="en-US"/>
        </w:rPr>
        <w:t>依据业主提供的数据，项目设计处理能力600 m3/d，本废水处理工程按每天24小时运行，设计处理量为25m3/h。</w:t>
      </w:r>
    </w:p>
    <w:p>
      <w:pPr>
        <w:widowControl/>
        <w:adjustRightInd w:val="0"/>
        <w:snapToGrid w:val="0"/>
        <w:spacing w:line="360" w:lineRule="auto"/>
        <w:jc w:val="left"/>
        <w:rPr>
          <w:rFonts w:hint="eastAsia" w:ascii="宋体" w:hAnsi="宋体" w:cs="宋体"/>
          <w:b/>
          <w:bCs/>
          <w:sz w:val="24"/>
          <w:szCs w:val="24"/>
          <w:lang w:val="en-US"/>
        </w:rPr>
      </w:pPr>
      <w:r>
        <w:rPr>
          <w:rFonts w:hint="eastAsia" w:ascii="宋体" w:hAnsi="宋体" w:cs="宋体"/>
          <w:b/>
          <w:bCs/>
          <w:sz w:val="24"/>
          <w:szCs w:val="24"/>
          <w:lang w:val="en-US"/>
        </w:rPr>
        <w:t>2.1、设计废水进水水质：</w:t>
      </w:r>
    </w:p>
    <w:p>
      <w:pPr>
        <w:widowControl/>
        <w:adjustRightInd w:val="0"/>
        <w:snapToGrid w:val="0"/>
        <w:spacing w:line="360" w:lineRule="auto"/>
        <w:jc w:val="left"/>
        <w:rPr>
          <w:rFonts w:hint="eastAsia" w:ascii="宋体" w:hAnsi="宋体" w:cs="宋体"/>
          <w:sz w:val="24"/>
          <w:szCs w:val="24"/>
          <w:lang w:val="en-US"/>
        </w:rPr>
      </w:pPr>
      <w:r>
        <w:rPr>
          <w:rFonts w:hint="eastAsia" w:ascii="宋体" w:hAnsi="宋体" w:cs="宋体"/>
          <w:sz w:val="24"/>
          <w:szCs w:val="24"/>
          <w:lang w:val="en-US"/>
        </w:rPr>
        <w:t>参考同类厂家及环境影响评价报告的水质情况，以下为本处理工程的设计参数。</w:t>
      </w:r>
    </w:p>
    <w:tbl>
      <w:tblPr>
        <w:tblStyle w:val="18"/>
        <w:tblpPr w:leftFromText="180" w:rightFromText="180" w:vertAnchor="text" w:horzAnchor="margin" w:tblpXSpec="center" w:tblpY="330"/>
        <w:tblW w:w="4998" w:type="pct"/>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955"/>
        <w:gridCol w:w="1127"/>
        <w:gridCol w:w="1470"/>
        <w:gridCol w:w="1470"/>
        <w:gridCol w:w="1470"/>
        <w:gridCol w:w="1470"/>
        <w:gridCol w:w="147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28" w:type="dxa"/>
            <w:bottom w:w="0" w:type="dxa"/>
            <w:right w:w="28" w:type="dxa"/>
          </w:tblCellMar>
        </w:tblPrEx>
        <w:tc>
          <w:tcPr>
            <w:tcW w:w="50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指标</w:t>
            </w:r>
          </w:p>
        </w:tc>
        <w:tc>
          <w:tcPr>
            <w:tcW w:w="597"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PH</w:t>
            </w:r>
          </w:p>
        </w:tc>
        <w:tc>
          <w:tcPr>
            <w:tcW w:w="779"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COD</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779" w:type="pct"/>
            <w:noWrap w:val="0"/>
            <w:vAlign w:val="center"/>
          </w:tcPr>
          <w:p>
            <w:pPr>
              <w:pStyle w:val="9"/>
              <w:ind w:left="0" w:leftChars="0"/>
              <w:jc w:val="center"/>
              <w:rPr>
                <w:rFonts w:ascii="宋体" w:hAnsi="宋体"/>
                <w:bCs/>
                <w:sz w:val="24"/>
                <w:szCs w:val="20"/>
                <w:vertAlign w:val="subscript"/>
              </w:rPr>
            </w:pPr>
            <w:r>
              <w:rPr>
                <w:rFonts w:hint="eastAsia" w:ascii="宋体" w:hAnsi="宋体"/>
                <w:bCs/>
                <w:sz w:val="24"/>
                <w:szCs w:val="20"/>
              </w:rPr>
              <w:t>BOD</w:t>
            </w:r>
            <w:r>
              <w:rPr>
                <w:rFonts w:hint="eastAsia" w:ascii="宋体" w:hAnsi="宋体"/>
                <w:bCs/>
                <w:sz w:val="24"/>
                <w:szCs w:val="20"/>
                <w:vertAlign w:val="subscript"/>
              </w:rPr>
              <w:t>5</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779"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SS</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779" w:type="pct"/>
            <w:noWrap w:val="0"/>
            <w:vAlign w:val="center"/>
          </w:tcPr>
          <w:p>
            <w:pPr>
              <w:pStyle w:val="9"/>
              <w:ind w:left="0" w:leftChars="0"/>
              <w:jc w:val="center"/>
              <w:rPr>
                <w:rFonts w:ascii="宋体" w:hAnsi="宋体"/>
                <w:sz w:val="24"/>
              </w:rPr>
            </w:pPr>
            <w:r>
              <w:rPr>
                <w:rFonts w:hint="eastAsia" w:ascii="宋体" w:hAnsi="宋体"/>
                <w:sz w:val="24"/>
              </w:rPr>
              <w:t>NH</w:t>
            </w:r>
            <w:r>
              <w:rPr>
                <w:rFonts w:hint="eastAsia" w:ascii="宋体" w:hAnsi="宋体"/>
                <w:sz w:val="24"/>
                <w:vertAlign w:val="subscript"/>
              </w:rPr>
              <w:t>4</w:t>
            </w:r>
            <w:r>
              <w:rPr>
                <w:rFonts w:hint="eastAsia" w:ascii="宋体" w:hAnsi="宋体"/>
                <w:sz w:val="24"/>
                <w:vertAlign w:val="superscript"/>
              </w:rPr>
              <w:t>+</w:t>
            </w:r>
            <w:r>
              <w:rPr>
                <w:rFonts w:hint="eastAsia" w:ascii="宋体" w:hAnsi="宋体"/>
                <w:sz w:val="24"/>
              </w:rPr>
              <w:t>-N</w:t>
            </w:r>
          </w:p>
          <w:p>
            <w:pPr>
              <w:pStyle w:val="9"/>
              <w:ind w:left="0" w:leftChars="0"/>
              <w:jc w:val="center"/>
              <w:rPr>
                <w:rFonts w:ascii="宋体" w:hAnsi="宋体"/>
                <w:bCs/>
                <w:sz w:val="24"/>
                <w:szCs w:val="20"/>
              </w:rPr>
            </w:pPr>
            <w:r>
              <w:rPr>
                <w:rFonts w:hint="eastAsia" w:ascii="宋体" w:hAnsi="宋体"/>
                <w:sz w:val="24"/>
              </w:rPr>
              <w:t>（mg/L）</w:t>
            </w:r>
          </w:p>
        </w:tc>
        <w:tc>
          <w:tcPr>
            <w:tcW w:w="779" w:type="pct"/>
            <w:noWrap w:val="0"/>
            <w:vAlign w:val="center"/>
          </w:tcPr>
          <w:p>
            <w:pPr>
              <w:pStyle w:val="9"/>
              <w:ind w:left="0" w:leftChars="0"/>
              <w:jc w:val="center"/>
              <w:rPr>
                <w:rFonts w:ascii="宋体" w:hAnsi="宋体"/>
                <w:sz w:val="24"/>
              </w:rPr>
            </w:pPr>
            <w:r>
              <w:rPr>
                <w:rFonts w:hint="eastAsia" w:ascii="宋体" w:hAnsi="宋体"/>
                <w:sz w:val="24"/>
              </w:rPr>
              <w:t>动植物油</w:t>
            </w:r>
          </w:p>
          <w:p>
            <w:pPr>
              <w:pStyle w:val="9"/>
              <w:ind w:left="0" w:leftChars="0"/>
              <w:jc w:val="center"/>
              <w:rPr>
                <w:rFonts w:ascii="宋体" w:hAnsi="宋体"/>
                <w:bCs/>
                <w:sz w:val="24"/>
                <w:szCs w:val="20"/>
              </w:rPr>
            </w:pPr>
            <w:r>
              <w:rPr>
                <w:rFonts w:hint="eastAsia" w:ascii="宋体" w:hAnsi="宋体"/>
                <w:sz w:val="24"/>
              </w:rPr>
              <w:t>（mg/L）</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28" w:type="dxa"/>
            <w:bottom w:w="0" w:type="dxa"/>
            <w:right w:w="28" w:type="dxa"/>
          </w:tblCellMar>
        </w:tblPrEx>
        <w:trPr>
          <w:trHeight w:val="739" w:hRule="atLeast"/>
        </w:trPr>
        <w:tc>
          <w:tcPr>
            <w:tcW w:w="50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参数</w:t>
            </w:r>
          </w:p>
        </w:tc>
        <w:tc>
          <w:tcPr>
            <w:tcW w:w="597"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6-9</w:t>
            </w:r>
          </w:p>
        </w:tc>
        <w:tc>
          <w:tcPr>
            <w:tcW w:w="779" w:type="pct"/>
            <w:noWrap w:val="0"/>
            <w:vAlign w:val="center"/>
          </w:tcPr>
          <w:p>
            <w:pPr>
              <w:pStyle w:val="9"/>
              <w:ind w:left="0" w:leftChars="0"/>
              <w:jc w:val="center"/>
              <w:rPr>
                <w:rFonts w:ascii="宋体" w:hAnsi="宋体"/>
                <w:bCs/>
                <w:sz w:val="24"/>
                <w:szCs w:val="20"/>
              </w:rPr>
            </w:pPr>
            <w:r>
              <w:rPr>
                <w:rFonts w:ascii="宋体" w:hAnsi="宋体"/>
                <w:bCs/>
                <w:sz w:val="24"/>
                <w:szCs w:val="20"/>
              </w:rPr>
              <w:t>2500</w:t>
            </w:r>
          </w:p>
        </w:tc>
        <w:tc>
          <w:tcPr>
            <w:tcW w:w="779" w:type="pct"/>
            <w:noWrap w:val="0"/>
            <w:vAlign w:val="center"/>
          </w:tcPr>
          <w:p>
            <w:pPr>
              <w:pStyle w:val="9"/>
              <w:ind w:left="0" w:leftChars="0"/>
              <w:jc w:val="center"/>
              <w:rPr>
                <w:rFonts w:ascii="宋体" w:hAnsi="宋体"/>
                <w:bCs/>
                <w:sz w:val="24"/>
                <w:szCs w:val="20"/>
              </w:rPr>
            </w:pPr>
            <w:r>
              <w:rPr>
                <w:rFonts w:ascii="宋体" w:hAnsi="宋体"/>
                <w:bCs/>
                <w:sz w:val="24"/>
                <w:szCs w:val="20"/>
              </w:rPr>
              <w:t>10</w:t>
            </w:r>
            <w:r>
              <w:rPr>
                <w:rFonts w:hint="eastAsia" w:ascii="宋体" w:hAnsi="宋体"/>
                <w:bCs/>
                <w:sz w:val="24"/>
                <w:szCs w:val="20"/>
              </w:rPr>
              <w:t>00</w:t>
            </w:r>
          </w:p>
        </w:tc>
        <w:tc>
          <w:tcPr>
            <w:tcW w:w="779" w:type="pct"/>
            <w:noWrap w:val="0"/>
            <w:vAlign w:val="center"/>
          </w:tcPr>
          <w:p>
            <w:pPr>
              <w:pStyle w:val="9"/>
              <w:ind w:left="0" w:leftChars="0"/>
              <w:jc w:val="center"/>
              <w:rPr>
                <w:rFonts w:ascii="宋体" w:hAnsi="宋体"/>
                <w:bCs/>
                <w:sz w:val="24"/>
                <w:szCs w:val="20"/>
              </w:rPr>
            </w:pPr>
            <w:r>
              <w:rPr>
                <w:rFonts w:ascii="宋体" w:hAnsi="宋体"/>
                <w:bCs/>
                <w:sz w:val="24"/>
                <w:szCs w:val="20"/>
              </w:rPr>
              <w:t>3</w:t>
            </w:r>
            <w:r>
              <w:rPr>
                <w:rFonts w:hint="eastAsia" w:ascii="宋体" w:hAnsi="宋体"/>
                <w:bCs/>
                <w:sz w:val="24"/>
                <w:szCs w:val="20"/>
              </w:rPr>
              <w:t>00</w:t>
            </w:r>
          </w:p>
        </w:tc>
        <w:tc>
          <w:tcPr>
            <w:tcW w:w="779" w:type="pct"/>
            <w:noWrap w:val="0"/>
            <w:vAlign w:val="center"/>
          </w:tcPr>
          <w:p>
            <w:pPr>
              <w:pStyle w:val="9"/>
              <w:ind w:left="0" w:leftChars="0"/>
              <w:jc w:val="center"/>
              <w:rPr>
                <w:rFonts w:ascii="宋体" w:hAnsi="宋体"/>
                <w:bCs/>
                <w:sz w:val="24"/>
                <w:szCs w:val="20"/>
              </w:rPr>
            </w:pPr>
            <w:r>
              <w:rPr>
                <w:rFonts w:ascii="宋体" w:hAnsi="宋体"/>
                <w:bCs/>
                <w:sz w:val="24"/>
                <w:szCs w:val="20"/>
              </w:rPr>
              <w:t>35</w:t>
            </w:r>
          </w:p>
        </w:tc>
        <w:tc>
          <w:tcPr>
            <w:tcW w:w="779"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300</w:t>
            </w:r>
          </w:p>
        </w:tc>
      </w:tr>
    </w:tbl>
    <w:p>
      <w:pPr>
        <w:pStyle w:val="5"/>
        <w:rPr>
          <w:rFonts w:hint="eastAsia"/>
          <w:b/>
          <w:bCs/>
          <w:sz w:val="24"/>
          <w:szCs w:val="24"/>
        </w:rPr>
      </w:pPr>
      <w:r>
        <w:rPr>
          <w:rFonts w:hint="eastAsia"/>
          <w:b/>
          <w:bCs/>
          <w:sz w:val="24"/>
          <w:szCs w:val="24"/>
        </w:rPr>
        <w:t>2.2、设计出水水质</w:t>
      </w:r>
    </w:p>
    <w:p>
      <w:pPr>
        <w:spacing w:line="360" w:lineRule="auto"/>
        <w:ind w:firstLine="480" w:firstLineChars="200"/>
        <w:rPr>
          <w:rFonts w:ascii="宋体" w:hAnsi="宋体"/>
          <w:sz w:val="24"/>
          <w:szCs w:val="24"/>
        </w:rPr>
      </w:pPr>
      <w:r>
        <w:rPr>
          <w:rFonts w:ascii="宋体" w:hAnsi="宋体"/>
          <w:sz w:val="24"/>
          <w:szCs w:val="24"/>
        </w:rPr>
        <w:t>本项目</w:t>
      </w:r>
      <w:r>
        <w:rPr>
          <w:rFonts w:hint="eastAsia" w:ascii="宋体" w:hAnsi="宋体"/>
          <w:sz w:val="24"/>
          <w:szCs w:val="24"/>
        </w:rPr>
        <w:t>综合废水经厂区废水处理站处理，外排废水出水指标达到《废水综合排放标准》（GB8978-1996）中的三级标准进入市政废水管网</w:t>
      </w:r>
      <w:r>
        <w:rPr>
          <w:rFonts w:ascii="宋体" w:hAnsi="宋体"/>
          <w:sz w:val="24"/>
          <w:szCs w:val="24"/>
        </w:rPr>
        <w:t>，</w:t>
      </w:r>
      <w:r>
        <w:rPr>
          <w:rFonts w:hint="eastAsia" w:ascii="宋体" w:hAnsi="宋体"/>
          <w:sz w:val="24"/>
          <w:szCs w:val="24"/>
        </w:rPr>
        <w:t>最终</w:t>
      </w:r>
      <w:r>
        <w:rPr>
          <w:rFonts w:ascii="宋体" w:hAnsi="宋体"/>
          <w:sz w:val="24"/>
          <w:szCs w:val="24"/>
        </w:rPr>
        <w:t>进入</w:t>
      </w:r>
      <w:r>
        <w:rPr>
          <w:rFonts w:hint="eastAsia" w:ascii="宋体" w:hAnsi="宋体"/>
          <w:sz w:val="24"/>
          <w:szCs w:val="24"/>
        </w:rPr>
        <w:t>市政废水处理厂</w:t>
      </w:r>
      <w:r>
        <w:rPr>
          <w:rFonts w:ascii="宋体" w:hAnsi="宋体"/>
          <w:sz w:val="24"/>
          <w:szCs w:val="24"/>
        </w:rPr>
        <w:t>处理。</w:t>
      </w:r>
      <w:r>
        <w:rPr>
          <w:rFonts w:hint="eastAsia" w:ascii="宋体" w:hAnsi="宋体"/>
          <w:sz w:val="24"/>
          <w:szCs w:val="24"/>
        </w:rPr>
        <w:t>具体参数如下表：</w:t>
      </w:r>
    </w:p>
    <w:tbl>
      <w:tblPr>
        <w:tblStyle w:val="18"/>
        <w:tblW w:w="4997" w:type="pct"/>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917"/>
        <w:gridCol w:w="1294"/>
        <w:gridCol w:w="1295"/>
        <w:gridCol w:w="1167"/>
        <w:gridCol w:w="1295"/>
        <w:gridCol w:w="1167"/>
        <w:gridCol w:w="129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28" w:type="dxa"/>
            <w:bottom w:w="0" w:type="dxa"/>
            <w:right w:w="28" w:type="dxa"/>
          </w:tblCellMar>
        </w:tblPrEx>
        <w:tc>
          <w:tcPr>
            <w:tcW w:w="101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指标</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PH</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COD</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618"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BOD</w:t>
            </w:r>
            <w:r>
              <w:rPr>
                <w:rFonts w:hint="eastAsia" w:ascii="宋体" w:hAnsi="宋体"/>
                <w:bCs/>
                <w:sz w:val="24"/>
                <w:szCs w:val="20"/>
                <w:vertAlign w:val="subscript"/>
              </w:rPr>
              <w:t>5</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SS</w:t>
            </w:r>
          </w:p>
          <w:p>
            <w:pPr>
              <w:pStyle w:val="9"/>
              <w:ind w:left="0" w:leftChars="0"/>
              <w:jc w:val="center"/>
              <w:rPr>
                <w:rFonts w:ascii="宋体" w:hAnsi="宋体"/>
                <w:bCs/>
                <w:sz w:val="24"/>
                <w:szCs w:val="20"/>
              </w:rPr>
            </w:pPr>
            <w:r>
              <w:rPr>
                <w:rFonts w:hint="eastAsia" w:ascii="宋体" w:hAnsi="宋体"/>
                <w:bCs/>
                <w:sz w:val="24"/>
                <w:szCs w:val="20"/>
              </w:rPr>
              <w:t>（</w:t>
            </w:r>
            <w:r>
              <w:rPr>
                <w:rFonts w:ascii="宋体" w:hAnsi="宋体"/>
                <w:bCs/>
                <w:sz w:val="24"/>
                <w:szCs w:val="20"/>
              </w:rPr>
              <w:t>mg/L</w:t>
            </w:r>
            <w:r>
              <w:rPr>
                <w:rFonts w:hint="eastAsia" w:ascii="宋体" w:hAnsi="宋体"/>
                <w:bCs/>
                <w:sz w:val="24"/>
                <w:szCs w:val="20"/>
              </w:rPr>
              <w:t>）</w:t>
            </w:r>
          </w:p>
        </w:tc>
        <w:tc>
          <w:tcPr>
            <w:tcW w:w="618"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NH4+-N</w:t>
            </w:r>
          </w:p>
          <w:p>
            <w:pPr>
              <w:pStyle w:val="9"/>
              <w:ind w:left="0" w:leftChars="0"/>
              <w:jc w:val="center"/>
              <w:rPr>
                <w:rFonts w:ascii="宋体" w:hAnsi="宋体"/>
                <w:bCs/>
                <w:sz w:val="24"/>
                <w:szCs w:val="20"/>
              </w:rPr>
            </w:pPr>
            <w:r>
              <w:rPr>
                <w:rFonts w:hint="eastAsia" w:ascii="宋体" w:hAnsi="宋体"/>
                <w:bCs/>
                <w:sz w:val="24"/>
                <w:szCs w:val="20"/>
              </w:rPr>
              <w:t>（mg/L）</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动植物油</w:t>
            </w:r>
          </w:p>
          <w:p>
            <w:pPr>
              <w:pStyle w:val="9"/>
              <w:ind w:left="0" w:leftChars="0"/>
              <w:jc w:val="center"/>
              <w:rPr>
                <w:rFonts w:ascii="宋体" w:hAnsi="宋体"/>
                <w:bCs/>
                <w:sz w:val="24"/>
                <w:szCs w:val="20"/>
              </w:rPr>
            </w:pPr>
            <w:r>
              <w:rPr>
                <w:rFonts w:hint="eastAsia" w:ascii="宋体" w:hAnsi="宋体"/>
                <w:bCs/>
                <w:sz w:val="24"/>
                <w:szCs w:val="20"/>
              </w:rPr>
              <w:t>（mg/L）</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28" w:type="dxa"/>
            <w:bottom w:w="0" w:type="dxa"/>
            <w:right w:w="28" w:type="dxa"/>
          </w:tblCellMar>
        </w:tblPrEx>
        <w:trPr>
          <w:trHeight w:val="841" w:hRule="atLeast"/>
        </w:trPr>
        <w:tc>
          <w:tcPr>
            <w:tcW w:w="1016" w:type="pct"/>
            <w:noWrap w:val="0"/>
            <w:vAlign w:val="center"/>
          </w:tcPr>
          <w:p>
            <w:pPr>
              <w:pStyle w:val="9"/>
              <w:ind w:left="0" w:leftChars="0"/>
              <w:jc w:val="center"/>
              <w:rPr>
                <w:rFonts w:ascii="宋体" w:hAnsi="宋体"/>
                <w:bCs/>
                <w:sz w:val="24"/>
                <w:szCs w:val="20"/>
              </w:rPr>
            </w:pPr>
            <w:r>
              <w:rPr>
                <w:rFonts w:ascii="宋体" w:hAnsi="宋体"/>
                <w:bCs/>
                <w:sz w:val="24"/>
                <w:szCs w:val="20"/>
              </w:rPr>
              <w:t>GB8978-96</w:t>
            </w:r>
            <w:r>
              <w:rPr>
                <w:rFonts w:hint="eastAsia" w:ascii="宋体" w:hAnsi="宋体"/>
                <w:bCs/>
                <w:sz w:val="24"/>
                <w:szCs w:val="20"/>
              </w:rPr>
              <w:t>中的三</w:t>
            </w:r>
            <w:r>
              <w:rPr>
                <w:rFonts w:ascii="宋体" w:hAnsi="宋体"/>
                <w:bCs/>
                <w:sz w:val="24"/>
                <w:szCs w:val="20"/>
              </w:rPr>
              <w:t>级标准</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6-9</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500</w:t>
            </w:r>
          </w:p>
        </w:tc>
        <w:tc>
          <w:tcPr>
            <w:tcW w:w="618"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300</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400</w:t>
            </w:r>
          </w:p>
        </w:tc>
        <w:tc>
          <w:tcPr>
            <w:tcW w:w="618"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w:t>
            </w:r>
          </w:p>
        </w:tc>
        <w:tc>
          <w:tcPr>
            <w:tcW w:w="686" w:type="pct"/>
            <w:noWrap w:val="0"/>
            <w:vAlign w:val="center"/>
          </w:tcPr>
          <w:p>
            <w:pPr>
              <w:pStyle w:val="9"/>
              <w:ind w:left="0" w:leftChars="0"/>
              <w:jc w:val="center"/>
              <w:rPr>
                <w:rFonts w:ascii="宋体" w:hAnsi="宋体"/>
                <w:bCs/>
                <w:sz w:val="24"/>
                <w:szCs w:val="20"/>
              </w:rPr>
            </w:pPr>
            <w:r>
              <w:rPr>
                <w:rFonts w:hint="eastAsia" w:ascii="宋体" w:hAnsi="宋体"/>
                <w:bCs/>
                <w:sz w:val="24"/>
                <w:szCs w:val="20"/>
              </w:rPr>
              <w:t>100</w:t>
            </w:r>
          </w:p>
        </w:tc>
      </w:tr>
    </w:tbl>
    <w:p>
      <w:pPr>
        <w:rPr>
          <w:lang w:val="en-US"/>
        </w:rPr>
      </w:pPr>
    </w:p>
    <w:p>
      <w:pPr>
        <w:pStyle w:val="3"/>
        <w:spacing w:line="360" w:lineRule="auto"/>
        <w:rPr>
          <w:rFonts w:hint="eastAsia" w:ascii="宋体" w:hAnsi="宋体" w:cs="宋体"/>
          <w:sz w:val="24"/>
          <w:szCs w:val="24"/>
          <w:lang w:val="en-US" w:eastAsia="zh-CN"/>
        </w:rPr>
      </w:pPr>
      <w:bookmarkStart w:id="94" w:name="_Toc25654"/>
      <w:bookmarkStart w:id="95" w:name="_Toc16454"/>
      <w:bookmarkStart w:id="96" w:name="_Toc22887"/>
      <w:bookmarkStart w:id="97" w:name="_Toc31883"/>
      <w:bookmarkStart w:id="98" w:name="_Toc5516"/>
      <w:bookmarkStart w:id="99" w:name="_Toc18318"/>
      <w:bookmarkStart w:id="100" w:name="_Toc3555"/>
      <w:bookmarkStart w:id="101" w:name="_Toc5907"/>
      <w:bookmarkStart w:id="102" w:name="_Toc12272"/>
      <w:bookmarkStart w:id="103" w:name="_Toc1378"/>
      <w:bookmarkStart w:id="104" w:name="_Toc22836"/>
      <w:bookmarkStart w:id="105" w:name="_Toc2424"/>
      <w:bookmarkStart w:id="106" w:name="_Toc10972"/>
      <w:bookmarkStart w:id="107" w:name="_Toc15643"/>
      <w:bookmarkStart w:id="108" w:name="_Toc12344"/>
      <w:bookmarkStart w:id="109" w:name="_Toc27754"/>
      <w:bookmarkStart w:id="110" w:name="_Toc24013"/>
      <w:bookmarkStart w:id="111" w:name="_Toc24282"/>
      <w:r>
        <w:rPr>
          <w:rFonts w:hint="eastAsia" w:ascii="宋体" w:hAnsi="宋体" w:cs="宋体"/>
          <w:sz w:val="24"/>
          <w:szCs w:val="24"/>
          <w:lang w:val="en-US" w:eastAsia="zh-CN"/>
        </w:rPr>
        <w:t>3.设备描述</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360" w:lineRule="auto"/>
        <w:ind w:firstLine="480" w:firstLineChars="200"/>
        <w:rPr>
          <w:rFonts w:hint="eastAsia" w:ascii="宋体" w:hAnsi="宋体" w:cs="宋体"/>
          <w:sz w:val="24"/>
          <w:szCs w:val="24"/>
          <w:lang w:val="en-US"/>
        </w:rPr>
      </w:pPr>
      <w:r>
        <w:rPr>
          <w:rFonts w:hint="eastAsia" w:ascii="宋体" w:hAnsi="宋体" w:cs="宋体"/>
          <w:sz w:val="24"/>
          <w:szCs w:val="24"/>
          <w:lang w:val="en-US"/>
        </w:rPr>
        <w:t>范围：适用于用户需求污水处理设备。包括：该设备的工艺设计、制造、包装、运输、保险、设备安装、合同内电、管道安装、调试、人员培训、税金和售后服务、整体生产线工艺设计，直至生产出合格产品。</w:t>
      </w:r>
    </w:p>
    <w:p>
      <w:pPr>
        <w:keepLines w:val="0"/>
        <w:pageBreakBefore w:val="0"/>
        <w:kinsoku/>
        <w:wordWrap/>
        <w:overflowPunct/>
        <w:topLinePunct w:val="0"/>
        <w:autoSpaceDE/>
        <w:autoSpaceDN/>
        <w:bidi w:val="0"/>
        <w:spacing w:line="360" w:lineRule="auto"/>
        <w:ind w:firstLine="480" w:firstLineChars="200"/>
        <w:rPr>
          <w:rFonts w:hint="eastAsia"/>
          <w:sz w:val="24"/>
          <w:szCs w:val="24"/>
          <w:lang w:val="en-US"/>
        </w:rPr>
      </w:pPr>
      <w:r>
        <w:rPr>
          <w:rFonts w:hint="eastAsia" w:ascii="宋体" w:hAnsi="宋体" w:eastAsia="宋体" w:cs="宋体"/>
          <w:sz w:val="24"/>
          <w:szCs w:val="24"/>
          <w:lang w:val="en-US" w:eastAsia="zh-CN"/>
        </w:rPr>
        <w:t>使用地区：甘肃甘南藏族自治州玛曲县，海拔：2000米；投标方提供的所有设备均保证在使用环境条件高海拔地区满足技术附件参数正常使用。</w:t>
      </w:r>
    </w:p>
    <w:p>
      <w:pPr>
        <w:pStyle w:val="3"/>
        <w:spacing w:line="360" w:lineRule="auto"/>
        <w:rPr>
          <w:rFonts w:hint="eastAsia" w:ascii="宋体" w:hAnsi="宋体" w:cs="宋体"/>
          <w:sz w:val="24"/>
          <w:szCs w:val="24"/>
          <w:lang w:val="en-US" w:eastAsia="zh-CN"/>
        </w:rPr>
      </w:pPr>
      <w:bookmarkStart w:id="112" w:name="_Toc13145"/>
      <w:bookmarkStart w:id="113" w:name="_Toc279"/>
      <w:bookmarkStart w:id="114" w:name="_Toc5047"/>
      <w:bookmarkStart w:id="115" w:name="_Toc17247"/>
      <w:bookmarkStart w:id="116" w:name="_Toc4577"/>
      <w:bookmarkStart w:id="117" w:name="_Toc20257"/>
      <w:bookmarkStart w:id="118" w:name="_Toc8032"/>
      <w:bookmarkStart w:id="119" w:name="_Toc13427"/>
      <w:bookmarkStart w:id="120" w:name="_Toc2676"/>
      <w:bookmarkStart w:id="121" w:name="_Toc525"/>
      <w:bookmarkStart w:id="122" w:name="_Toc9327"/>
      <w:bookmarkStart w:id="123" w:name="_Toc393"/>
      <w:bookmarkStart w:id="124" w:name="_Toc3789"/>
      <w:bookmarkStart w:id="125" w:name="_Toc2438"/>
      <w:bookmarkStart w:id="126" w:name="_Toc16737"/>
      <w:bookmarkStart w:id="127" w:name="_Toc3150"/>
      <w:r>
        <w:rPr>
          <w:rFonts w:hint="eastAsia" w:ascii="宋体" w:hAnsi="宋体" w:cs="宋体"/>
          <w:sz w:val="24"/>
          <w:szCs w:val="24"/>
          <w:lang w:val="en-US" w:eastAsia="zh-CN"/>
        </w:rPr>
        <w:t>4、</w:t>
      </w:r>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sz w:val="24"/>
          <w:szCs w:val="24"/>
          <w:lang w:val="en-US" w:eastAsia="zh-CN"/>
        </w:rPr>
        <w:t>法律法规</w:t>
      </w:r>
      <w:bookmarkEnd w:id="125"/>
      <w:bookmarkEnd w:id="126"/>
      <w:bookmarkEnd w:id="127"/>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28" w:name="_Toc29105"/>
      <w:bookmarkStart w:id="129" w:name="_Toc29010"/>
      <w:bookmarkStart w:id="130" w:name="_Toc18284"/>
      <w:bookmarkStart w:id="131" w:name="_Toc27255"/>
      <w:bookmarkStart w:id="132" w:name="_Toc3475"/>
      <w:bookmarkStart w:id="133" w:name="_Toc30465"/>
      <w:bookmarkStart w:id="134" w:name="_Toc14927"/>
      <w:bookmarkStart w:id="135" w:name="_Toc28088"/>
      <w:bookmarkStart w:id="136" w:name="_Toc4261"/>
      <w:bookmarkStart w:id="137" w:name="_Toc11774"/>
      <w:bookmarkStart w:id="138" w:name="_Toc20476"/>
      <w:bookmarkStart w:id="139" w:name="_Toc32014"/>
      <w:bookmarkStart w:id="140" w:name="_Toc16987"/>
      <w:bookmarkStart w:id="141" w:name="_Toc5057"/>
      <w:bookmarkStart w:id="142" w:name="_Toc3434"/>
      <w:bookmarkStart w:id="143" w:name="_Toc14667"/>
      <w:r>
        <w:rPr>
          <w:rFonts w:hint="eastAsia" w:ascii="宋体" w:hAnsi="宋体" w:eastAsia="宋体" w:cs="宋体"/>
          <w:sz w:val="24"/>
          <w:szCs w:val="24"/>
          <w:lang w:val="en-US" w:eastAsia="zh-CN"/>
        </w:rPr>
        <w:t>（1）《建设项目环境保护管理条例》（2017年10月1日）；</w:t>
      </w:r>
      <w:bookmarkEnd w:id="128"/>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4" w:name="_Toc15369"/>
      <w:r>
        <w:rPr>
          <w:rFonts w:hint="eastAsia" w:ascii="宋体" w:hAnsi="宋体" w:eastAsia="宋体" w:cs="宋体"/>
          <w:sz w:val="24"/>
          <w:szCs w:val="24"/>
          <w:lang w:val="en-US" w:eastAsia="zh-CN"/>
        </w:rPr>
        <w:t>（2）《中华人民共和国环境保护法》（2015年1月1日）；</w:t>
      </w:r>
      <w:bookmarkEnd w:id="144"/>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5" w:name="_Toc10013"/>
      <w:r>
        <w:rPr>
          <w:rFonts w:hint="eastAsia" w:ascii="宋体" w:hAnsi="宋体" w:eastAsia="宋体" w:cs="宋体"/>
          <w:sz w:val="24"/>
          <w:szCs w:val="24"/>
          <w:lang w:val="en-US" w:eastAsia="zh-CN"/>
        </w:rPr>
        <w:t>（3）《中华人民共和国水污染防治法》（2018年1月1日）；</w:t>
      </w:r>
      <w:bookmarkEnd w:id="145"/>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6" w:name="_Toc13241"/>
      <w:r>
        <w:rPr>
          <w:rFonts w:hint="eastAsia" w:ascii="宋体" w:hAnsi="宋体" w:eastAsia="宋体" w:cs="宋体"/>
          <w:sz w:val="24"/>
          <w:szCs w:val="24"/>
          <w:lang w:val="en-US" w:eastAsia="zh-CN"/>
        </w:rPr>
        <w:t>（4）《废水综合排放标准》（GB8978-1996）；</w:t>
      </w:r>
      <w:bookmarkEnd w:id="146"/>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7" w:name="_Toc24524"/>
      <w:r>
        <w:rPr>
          <w:rFonts w:hint="eastAsia" w:ascii="宋体" w:hAnsi="宋体" w:eastAsia="宋体" w:cs="宋体"/>
          <w:sz w:val="24"/>
          <w:szCs w:val="24"/>
          <w:lang w:val="en-US" w:eastAsia="zh-CN"/>
        </w:rPr>
        <w:t>（5）《室外排水设计规范》(GBJ14-87)；</w:t>
      </w:r>
      <w:bookmarkEnd w:id="147"/>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8" w:name="_Toc1875"/>
      <w:r>
        <w:rPr>
          <w:rFonts w:hint="eastAsia" w:ascii="宋体" w:hAnsi="宋体" w:eastAsia="宋体" w:cs="宋体"/>
          <w:sz w:val="24"/>
          <w:szCs w:val="24"/>
          <w:lang w:val="en-US" w:eastAsia="zh-CN"/>
        </w:rPr>
        <w:t>（6）《国家标准声环境质量标准》(GB3096—2008)；</w:t>
      </w:r>
      <w:bookmarkEnd w:id="148"/>
    </w:p>
    <w:p>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bookmarkStart w:id="149" w:name="_Toc23068"/>
      <w:r>
        <w:rPr>
          <w:rFonts w:hint="eastAsia" w:ascii="宋体" w:hAnsi="宋体" w:eastAsia="宋体" w:cs="宋体"/>
          <w:sz w:val="24"/>
          <w:szCs w:val="24"/>
          <w:lang w:val="en-US" w:eastAsia="zh-CN"/>
        </w:rPr>
        <w:t>（7）业主提供的有关废水水质、水量资料</w:t>
      </w:r>
      <w:bookmarkEnd w:id="149"/>
    </w:p>
    <w:p>
      <w:pPr>
        <w:pStyle w:val="3"/>
        <w:spacing w:line="360" w:lineRule="auto"/>
        <w:rPr>
          <w:rFonts w:hint="eastAsia" w:ascii="宋体" w:hAnsi="宋体" w:cs="宋体"/>
          <w:sz w:val="24"/>
          <w:szCs w:val="24"/>
          <w:lang w:val="en-GB" w:eastAsia="zh-CN"/>
        </w:rPr>
      </w:pPr>
      <w:bookmarkStart w:id="150" w:name="_Toc1487"/>
      <w:bookmarkStart w:id="151" w:name="_Toc1691"/>
      <w:r>
        <w:rPr>
          <w:rFonts w:hint="eastAsia" w:ascii="宋体" w:hAnsi="宋体" w:cs="宋体"/>
          <w:sz w:val="24"/>
          <w:szCs w:val="24"/>
          <w:lang w:val="en-US" w:eastAsia="zh-CN"/>
        </w:rPr>
        <w:t>5.</w:t>
      </w:r>
      <w:r>
        <w:rPr>
          <w:rFonts w:hint="eastAsia" w:ascii="宋体" w:hAnsi="宋体" w:cs="宋体"/>
          <w:sz w:val="24"/>
          <w:szCs w:val="24"/>
          <w:lang w:val="en-GB" w:eastAsia="zh-CN"/>
        </w:rPr>
        <w:t>项目</w:t>
      </w:r>
      <w:r>
        <w:rPr>
          <w:rFonts w:hint="eastAsia" w:ascii="宋体" w:hAnsi="宋体" w:cs="宋体"/>
          <w:sz w:val="24"/>
          <w:szCs w:val="24"/>
          <w:lang w:val="en-US" w:eastAsia="zh-CN"/>
        </w:rPr>
        <w:t>设备</w:t>
      </w:r>
      <w:r>
        <w:rPr>
          <w:rFonts w:hint="eastAsia" w:ascii="宋体" w:hAnsi="宋体" w:cs="宋体"/>
          <w:sz w:val="24"/>
          <w:szCs w:val="24"/>
          <w:lang w:val="en-GB" w:eastAsia="zh-CN"/>
        </w:rPr>
        <w:t>要求</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50"/>
      <w:bookmarkEnd w:id="151"/>
    </w:p>
    <w:p>
      <w:pPr>
        <w:spacing w:line="360" w:lineRule="auto"/>
        <w:rPr>
          <w:rFonts w:hint="eastAsia"/>
          <w:b/>
          <w:bCs/>
          <w:sz w:val="24"/>
          <w:szCs w:val="24"/>
          <w:lang w:val="en-US"/>
        </w:rPr>
      </w:pPr>
      <w:r>
        <w:rPr>
          <w:rFonts w:hint="eastAsia"/>
          <w:b/>
          <w:bCs/>
          <w:sz w:val="24"/>
          <w:szCs w:val="24"/>
          <w:lang w:val="en-US"/>
        </w:rPr>
        <w:t>5.1、水泵</w:t>
      </w:r>
    </w:p>
    <w:tbl>
      <w:tblPr>
        <w:tblStyle w:val="18"/>
        <w:tblW w:w="5000" w:type="pct"/>
        <w:jc w:val="center"/>
        <w:tblLayout w:type="autofit"/>
        <w:tblCellMar>
          <w:top w:w="0" w:type="dxa"/>
          <w:left w:w="108" w:type="dxa"/>
          <w:bottom w:w="0" w:type="dxa"/>
          <w:right w:w="108" w:type="dxa"/>
        </w:tblCellMar>
      </w:tblPr>
      <w:tblGrid>
        <w:gridCol w:w="1563"/>
        <w:gridCol w:w="3738"/>
        <w:gridCol w:w="4275"/>
      </w:tblGrid>
      <w:tr>
        <w:tblPrEx>
          <w:tblCellMar>
            <w:top w:w="0" w:type="dxa"/>
            <w:left w:w="108" w:type="dxa"/>
            <w:bottom w:w="0" w:type="dxa"/>
            <w:right w:w="108" w:type="dxa"/>
          </w:tblCellMar>
        </w:tblPrEx>
        <w:trPr>
          <w:trHeight w:val="40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b/>
                <w:bCs/>
                <w:color w:val="000000"/>
                <w:sz w:val="24"/>
                <w:szCs w:val="24"/>
              </w:rPr>
              <w:t>潜污泵技术规格参数数据表</w:t>
            </w:r>
          </w:p>
        </w:tc>
      </w:tr>
      <w:tr>
        <w:tblPrEx>
          <w:tblCellMar>
            <w:top w:w="0" w:type="dxa"/>
            <w:left w:w="108" w:type="dxa"/>
            <w:bottom w:w="0" w:type="dxa"/>
            <w:right w:w="108" w:type="dxa"/>
          </w:tblCellMar>
        </w:tblPrEx>
        <w:trPr>
          <w:trHeight w:val="405" w:hRule="atLeast"/>
          <w:jc w:val="center"/>
        </w:trPr>
        <w:tc>
          <w:tcPr>
            <w:tcW w:w="276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lang w:val="en-US"/>
              </w:rPr>
            </w:pPr>
            <w:r>
              <w:rPr>
                <w:rFonts w:hint="eastAsia" w:ascii="宋体" w:hAnsi="宋体" w:cs="宋体"/>
                <w:color w:val="000000"/>
                <w:kern w:val="0"/>
                <w:sz w:val="24"/>
                <w:szCs w:val="24"/>
                <w:lang w:val="en-US"/>
              </w:rPr>
              <w:t>设备名称：污泥泵</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lang w:val="en-US"/>
              </w:rPr>
            </w:pPr>
            <w:r>
              <w:rPr>
                <w:rStyle w:val="33"/>
                <w:rFonts w:hint="default"/>
                <w:sz w:val="24"/>
                <w:szCs w:val="24"/>
                <w:lang w:val="en-US"/>
              </w:rPr>
              <w:t>设备位号：</w:t>
            </w:r>
            <w:r>
              <w:rPr>
                <w:sz w:val="24"/>
                <w:szCs w:val="24"/>
                <w:lang w:val="en-US"/>
              </w:rPr>
              <w:t>/</w:t>
            </w:r>
          </w:p>
        </w:tc>
      </w:tr>
      <w:tr>
        <w:tblPrEx>
          <w:tblCellMar>
            <w:top w:w="0" w:type="dxa"/>
            <w:left w:w="108" w:type="dxa"/>
            <w:bottom w:w="0" w:type="dxa"/>
            <w:right w:w="108" w:type="dxa"/>
          </w:tblCellMar>
        </w:tblPrEx>
        <w:trPr>
          <w:trHeight w:val="405" w:hRule="atLeast"/>
          <w:jc w:val="center"/>
        </w:trPr>
        <w:tc>
          <w:tcPr>
            <w:tcW w:w="276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安装位置：污泥池</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eastAsia="宋体" w:cs="Arial"/>
                <w:color w:val="000000"/>
                <w:sz w:val="24"/>
                <w:szCs w:val="24"/>
                <w:lang w:val="en-US" w:eastAsia="zh-CN"/>
              </w:rPr>
            </w:pPr>
            <w:r>
              <w:rPr>
                <w:rFonts w:eastAsia="Tahoma"/>
                <w:sz w:val="24"/>
                <w:szCs w:val="24"/>
                <w:lang w:val="en-US"/>
              </w:rPr>
              <w:t>数量（台）：</w:t>
            </w:r>
            <w:r>
              <w:rPr>
                <w:rFonts w:hint="eastAsia" w:eastAsia="宋体"/>
                <w:sz w:val="24"/>
                <w:szCs w:val="24"/>
                <w:lang w:val="en-US" w:eastAsia="zh-CN"/>
              </w:rPr>
              <w:t>1</w:t>
            </w:r>
          </w:p>
        </w:tc>
      </w:tr>
      <w:tr>
        <w:tblPrEx>
          <w:tblCellMar>
            <w:top w:w="0" w:type="dxa"/>
            <w:left w:w="108" w:type="dxa"/>
            <w:bottom w:w="0" w:type="dxa"/>
            <w:right w:w="108" w:type="dxa"/>
          </w:tblCellMar>
        </w:tblPrEx>
        <w:trPr>
          <w:trHeight w:val="66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rPr>
              <w:t>设备型号：WQ</w:t>
            </w:r>
            <w:r>
              <w:rPr>
                <w:rFonts w:hint="eastAsia" w:ascii="宋体" w:hAnsi="宋体" w:cs="宋体"/>
                <w:color w:val="000000"/>
                <w:kern w:val="0"/>
                <w:sz w:val="24"/>
                <w:szCs w:val="24"/>
                <w:lang w:val="en-US" w:eastAsia="zh-CN"/>
              </w:rPr>
              <w:t>45</w:t>
            </w:r>
            <w:r>
              <w:rPr>
                <w:rFonts w:hint="eastAsia" w:ascii="宋体" w:hAnsi="宋体" w:cs="宋体"/>
                <w:color w:val="000000"/>
                <w:kern w:val="0"/>
                <w:sz w:val="24"/>
                <w:szCs w:val="24"/>
                <w:lang w:val="en-US"/>
              </w:rPr>
              <w:t>-15-</w:t>
            </w:r>
            <w:r>
              <w:rPr>
                <w:rFonts w:hint="eastAsia" w:ascii="宋体" w:hAnsi="宋体" w:cs="宋体"/>
                <w:color w:val="000000"/>
                <w:kern w:val="0"/>
                <w:sz w:val="24"/>
                <w:szCs w:val="24"/>
                <w:lang w:val="en-US" w:eastAsia="zh-CN"/>
              </w:rPr>
              <w:t>4</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使用介质</w:t>
            </w: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主要成分</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悬浊液及有机杂质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温度（℃）</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Style w:val="33"/>
                <w:rFonts w:hint="default"/>
                <w:sz w:val="24"/>
                <w:szCs w:val="24"/>
                <w:lang w:val="en-US"/>
              </w:rPr>
              <w:t>常温</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密度（kg/m3</w:t>
            </w:r>
            <w:r>
              <w:rPr>
                <w:rStyle w:val="33"/>
                <w:rFonts w:hint="default"/>
                <w:sz w:val="24"/>
                <w:szCs w:val="24"/>
                <w:lang w:val="en-US"/>
              </w:rPr>
              <w:t>）</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≤1050</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PH</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4~10</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性能参数</w:t>
            </w: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★流量（m3/h</w:t>
            </w:r>
            <w:r>
              <w:rPr>
                <w:rStyle w:val="33"/>
                <w:rFonts w:hint="default"/>
                <w:sz w:val="24"/>
                <w:szCs w:val="24"/>
                <w:lang w:val="en-US"/>
              </w:rPr>
              <w:t>）</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eastAsia="宋体" w:cs="Arial"/>
                <w:color w:val="000000"/>
                <w:sz w:val="24"/>
                <w:szCs w:val="24"/>
                <w:lang w:val="en-US" w:eastAsia="zh-CN"/>
              </w:rPr>
            </w:pPr>
            <w:r>
              <w:rPr>
                <w:rFonts w:hint="eastAsia" w:ascii="Arial" w:hAnsi="Arial" w:eastAsia="宋体" w:cs="Arial"/>
                <w:color w:val="000000"/>
                <w:kern w:val="0"/>
                <w:sz w:val="24"/>
                <w:szCs w:val="24"/>
                <w:lang w:val="en-US" w:eastAsia="zh-CN"/>
              </w:rPr>
              <w:t>45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★扬程（m</w:t>
            </w:r>
            <w:r>
              <w:rPr>
                <w:rStyle w:val="33"/>
                <w:rFonts w:hint="default"/>
                <w:sz w:val="24"/>
                <w:szCs w:val="24"/>
                <w:lang w:val="en-US"/>
              </w:rPr>
              <w:t>）</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15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★额定功率（kW</w:t>
            </w:r>
            <w:r>
              <w:rPr>
                <w:rStyle w:val="33"/>
                <w:rFonts w:hint="default"/>
                <w:sz w:val="24"/>
                <w:szCs w:val="24"/>
                <w:lang w:val="en-US"/>
              </w:rPr>
              <w:t>）</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eastAsia="宋体" w:cs="Arial"/>
                <w:color w:val="000000"/>
                <w:sz w:val="24"/>
                <w:szCs w:val="24"/>
                <w:lang w:eastAsia="zh-CN"/>
              </w:rPr>
            </w:pPr>
            <w:r>
              <w:rPr>
                <w:rFonts w:ascii="Arial" w:hAnsi="Arial" w:eastAsia="Tahoma" w:cs="Arial"/>
                <w:color w:val="000000"/>
                <w:kern w:val="0"/>
                <w:sz w:val="24"/>
                <w:szCs w:val="24"/>
                <w:lang w:val="en-US"/>
              </w:rPr>
              <w:t>≤</w:t>
            </w:r>
            <w:r>
              <w:rPr>
                <w:rFonts w:hint="eastAsia" w:ascii="Arial" w:hAnsi="Arial" w:eastAsia="宋体" w:cs="Arial"/>
                <w:color w:val="000000"/>
                <w:kern w:val="0"/>
                <w:sz w:val="24"/>
                <w:szCs w:val="24"/>
                <w:lang w:val="en-US" w:eastAsia="zh-CN"/>
              </w:rPr>
              <w:t>4</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结构</w:t>
            </w: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型式</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地面卧式</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传动方式</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电动直联传动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离心式叶轮</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★冷却夹套</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720"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★冲洗阀（泵坑自动冲洗装置）</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材料</w:t>
            </w: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壳体灰口</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铸铁GG25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叶轮灰口</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铸铁GG25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主轴</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不锈钢431</w:t>
            </w:r>
          </w:p>
        </w:tc>
      </w:tr>
      <w:tr>
        <w:tblPrEx>
          <w:tblCellMar>
            <w:top w:w="0" w:type="dxa"/>
            <w:left w:w="108" w:type="dxa"/>
            <w:bottom w:w="0" w:type="dxa"/>
            <w:right w:w="108" w:type="dxa"/>
          </w:tblCellMar>
        </w:tblPrEx>
        <w:trPr>
          <w:trHeight w:val="600"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★密封</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耐腐蚀烧结碳化钨（WCCR</w:t>
            </w:r>
            <w:r>
              <w:rPr>
                <w:rStyle w:val="33"/>
                <w:rFonts w:hint="default"/>
                <w:sz w:val="24"/>
                <w:szCs w:val="24"/>
                <w:lang w:val="en-US"/>
              </w:rPr>
              <w:t>）</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螺栓、螺母</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不锈钢304</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所有连接附件、地脚螺栓</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不锈钢304</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电机</w:t>
            </w: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电源</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380V 50HZ</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启动方式</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直接启动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★防护等级、绝缘等级I</w:t>
            </w:r>
          </w:p>
        </w:tc>
        <w:tc>
          <w:tcPr>
            <w:tcW w:w="2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eastAsia="Tahoma"/>
                <w:sz w:val="24"/>
                <w:szCs w:val="24"/>
                <w:lang w:val="en-US"/>
              </w:rPr>
              <w:t>P44</w:t>
            </w:r>
            <w:r>
              <w:rPr>
                <w:rStyle w:val="33"/>
                <w:rFonts w:hint="default"/>
                <w:sz w:val="24"/>
                <w:szCs w:val="24"/>
                <w:lang w:val="en-US"/>
              </w:rPr>
              <w:t>、</w:t>
            </w:r>
            <w:r>
              <w:rPr>
                <w:rFonts w:eastAsia="Tahoma"/>
                <w:sz w:val="24"/>
                <w:szCs w:val="24"/>
                <w:lang w:val="en-US"/>
              </w:rPr>
              <w:t>F</w:t>
            </w:r>
            <w:r>
              <w:rPr>
                <w:rStyle w:val="33"/>
                <w:rFonts w:hint="default"/>
                <w:sz w:val="24"/>
                <w:szCs w:val="24"/>
                <w:lang w:val="en-US"/>
              </w:rPr>
              <w:t>级</w:t>
            </w:r>
          </w:p>
        </w:tc>
      </w:tr>
      <w:tr>
        <w:tblPrEx>
          <w:tblCellMar>
            <w:top w:w="0" w:type="dxa"/>
            <w:left w:w="108" w:type="dxa"/>
            <w:bottom w:w="0" w:type="dxa"/>
            <w:right w:w="108" w:type="dxa"/>
          </w:tblCellMar>
        </w:tblPrEx>
        <w:trPr>
          <w:trHeight w:val="114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供货范围</w:t>
            </w:r>
          </w:p>
        </w:tc>
        <w:tc>
          <w:tcPr>
            <w:tcW w:w="4183" w:type="pct"/>
            <w:gridSpan w:val="2"/>
            <w:tcBorders>
              <w:top w:val="single" w:color="000000" w:sz="4" w:space="0"/>
              <w:left w:val="single" w:color="000000" w:sz="4" w:space="0"/>
              <w:bottom w:val="nil"/>
              <w:right w:val="single" w:color="000000" w:sz="4" w:space="0"/>
            </w:tcBorders>
            <w:noWrap w:val="0"/>
            <w:vAlign w:val="center"/>
          </w:tcPr>
          <w:p>
            <w:pPr>
              <w:widowControl/>
              <w:jc w:val="center"/>
              <w:textAlignment w:val="center"/>
              <w:rPr>
                <w:rStyle w:val="33"/>
                <w:rFonts w:hint="eastAsia" w:eastAsia="宋体"/>
                <w:sz w:val="24"/>
                <w:szCs w:val="24"/>
                <w:lang w:val="en-US" w:eastAsia="zh-CN"/>
              </w:rPr>
            </w:pPr>
            <w:r>
              <w:rPr>
                <w:rFonts w:hint="eastAsia" w:ascii="宋体" w:hAnsi="宋体" w:cs="宋体"/>
                <w:color w:val="000000"/>
                <w:kern w:val="0"/>
                <w:sz w:val="24"/>
                <w:szCs w:val="24"/>
                <w:lang w:val="en-US"/>
              </w:rPr>
              <w:t>主机■</w:t>
            </w:r>
            <w:r>
              <w:rPr>
                <w:rStyle w:val="33"/>
                <w:rFonts w:hint="default"/>
                <w:sz w:val="24"/>
                <w:szCs w:val="24"/>
                <w:lang w:val="en-US"/>
              </w:rPr>
              <w:t>驱动机■</w:t>
            </w:r>
          </w:p>
          <w:p>
            <w:pPr>
              <w:widowControl/>
              <w:jc w:val="center"/>
              <w:textAlignment w:val="center"/>
              <w:rPr>
                <w:rStyle w:val="33"/>
                <w:rFonts w:hint="eastAsia" w:eastAsia="宋体"/>
                <w:sz w:val="24"/>
                <w:szCs w:val="24"/>
                <w:lang w:val="en-US" w:eastAsia="zh-CN"/>
              </w:rPr>
            </w:pPr>
            <w:r>
              <w:rPr>
                <w:rStyle w:val="33"/>
                <w:rFonts w:hint="default"/>
                <w:sz w:val="24"/>
                <w:szCs w:val="24"/>
                <w:lang w:val="en-US"/>
              </w:rPr>
              <w:t xml:space="preserve">出水连接耦合装置■      </w:t>
            </w:r>
          </w:p>
          <w:p>
            <w:pPr>
              <w:widowControl/>
              <w:jc w:val="center"/>
              <w:textAlignment w:val="center"/>
              <w:rPr>
                <w:rStyle w:val="33"/>
                <w:rFonts w:hint="eastAsia" w:eastAsia="宋体"/>
                <w:sz w:val="24"/>
                <w:szCs w:val="24"/>
                <w:lang w:val="en-US" w:eastAsia="zh-CN"/>
              </w:rPr>
            </w:pPr>
            <w:r>
              <w:rPr>
                <w:rStyle w:val="33"/>
                <w:rFonts w:hint="default"/>
                <w:sz w:val="24"/>
                <w:szCs w:val="24"/>
                <w:lang w:val="en-US"/>
              </w:rPr>
              <w:t xml:space="preserve">导轨，提升链■          </w:t>
            </w:r>
          </w:p>
          <w:p>
            <w:pPr>
              <w:widowControl/>
              <w:jc w:val="center"/>
              <w:textAlignment w:val="center"/>
              <w:rPr>
                <w:rFonts w:ascii="宋体" w:hAnsi="宋体" w:cs="宋体"/>
                <w:color w:val="000000"/>
                <w:sz w:val="24"/>
                <w:szCs w:val="24"/>
              </w:rPr>
            </w:pPr>
            <w:r>
              <w:rPr>
                <w:rStyle w:val="33"/>
                <w:rFonts w:hint="default"/>
                <w:sz w:val="24"/>
                <w:szCs w:val="24"/>
                <w:lang w:val="en-US"/>
              </w:rPr>
              <w:t>地脚螺栓■             其它附件等■</w:t>
            </w:r>
          </w:p>
        </w:tc>
      </w:tr>
      <w:tr>
        <w:tblPrEx>
          <w:tblCellMar>
            <w:top w:w="0" w:type="dxa"/>
            <w:left w:w="108" w:type="dxa"/>
            <w:bottom w:w="0" w:type="dxa"/>
            <w:right w:w="108" w:type="dxa"/>
          </w:tblCellMar>
        </w:tblPrEx>
        <w:trPr>
          <w:trHeight w:val="158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说明</w:t>
            </w:r>
          </w:p>
        </w:tc>
        <w:tc>
          <w:tcPr>
            <w:tcW w:w="41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33"/>
                <w:rFonts w:hint="eastAsia" w:eastAsia="宋体"/>
                <w:sz w:val="24"/>
                <w:szCs w:val="24"/>
                <w:lang w:val="en-US" w:eastAsia="zh-CN"/>
              </w:rPr>
            </w:pPr>
            <w:r>
              <w:rPr>
                <w:rFonts w:eastAsia="Tahoma"/>
                <w:sz w:val="24"/>
                <w:szCs w:val="24"/>
                <w:lang w:val="en-US"/>
              </w:rPr>
              <w:t>1.</w:t>
            </w:r>
            <w:r>
              <w:rPr>
                <w:rStyle w:val="33"/>
                <w:rFonts w:hint="default"/>
                <w:sz w:val="24"/>
                <w:szCs w:val="24"/>
                <w:lang w:val="en-US"/>
              </w:rPr>
              <w:t>潜污泵成套供应，需包括所有安全、有效及可靠运行所需的附件，配套潜水电缆</w:t>
            </w:r>
            <w:r>
              <w:rPr>
                <w:rFonts w:eastAsia="Tahoma"/>
                <w:sz w:val="24"/>
                <w:szCs w:val="24"/>
                <w:lang w:val="en-US"/>
              </w:rPr>
              <w:t>15</w:t>
            </w:r>
            <w:r>
              <w:rPr>
                <w:rStyle w:val="33"/>
                <w:rFonts w:hint="default"/>
                <w:sz w:val="24"/>
                <w:szCs w:val="24"/>
                <w:lang w:val="en-US"/>
              </w:rPr>
              <w:t>米</w:t>
            </w:r>
            <w:r>
              <w:rPr>
                <w:rFonts w:eastAsia="Tahoma"/>
                <w:sz w:val="24"/>
                <w:szCs w:val="24"/>
                <w:lang w:val="en-US"/>
              </w:rPr>
              <w:t>/</w:t>
            </w:r>
            <w:r>
              <w:rPr>
                <w:rStyle w:val="33"/>
                <w:rFonts w:hint="default"/>
                <w:sz w:val="24"/>
                <w:szCs w:val="24"/>
                <w:lang w:val="en-US"/>
              </w:rPr>
              <w:t>台。</w:t>
            </w:r>
          </w:p>
          <w:p>
            <w:pPr>
              <w:widowControl/>
              <w:jc w:val="center"/>
              <w:textAlignment w:val="center"/>
              <w:rPr>
                <w:rFonts w:ascii="Arial" w:hAnsi="Arial" w:eastAsia="Tahoma" w:cs="Arial"/>
                <w:color w:val="000000"/>
                <w:sz w:val="24"/>
                <w:szCs w:val="24"/>
              </w:rPr>
            </w:pPr>
            <w:r>
              <w:rPr>
                <w:rFonts w:eastAsia="Tahoma"/>
                <w:sz w:val="24"/>
                <w:szCs w:val="24"/>
                <w:lang w:val="en-US"/>
              </w:rPr>
              <w:t>2.</w:t>
            </w:r>
            <w:r>
              <w:rPr>
                <w:rStyle w:val="33"/>
                <w:rFonts w:hint="default"/>
                <w:sz w:val="24"/>
                <w:szCs w:val="24"/>
                <w:lang w:val="en-US"/>
              </w:rPr>
              <w:t>其它要求详见设备的一般及特殊技术要求。</w:t>
            </w:r>
          </w:p>
        </w:tc>
      </w:tr>
    </w:tbl>
    <w:p>
      <w:pPr>
        <w:pStyle w:val="5"/>
        <w:rPr>
          <w:rFonts w:hint="eastAsia"/>
          <w:sz w:val="24"/>
          <w:szCs w:val="24"/>
        </w:rPr>
      </w:pPr>
    </w:p>
    <w:tbl>
      <w:tblPr>
        <w:tblStyle w:val="18"/>
        <w:tblW w:w="4999" w:type="pct"/>
        <w:jc w:val="center"/>
        <w:tblLayout w:type="autofit"/>
        <w:tblCellMar>
          <w:top w:w="0" w:type="dxa"/>
          <w:left w:w="108" w:type="dxa"/>
          <w:bottom w:w="0" w:type="dxa"/>
          <w:right w:w="108" w:type="dxa"/>
        </w:tblCellMar>
      </w:tblPr>
      <w:tblGrid>
        <w:gridCol w:w="1563"/>
        <w:gridCol w:w="3740"/>
        <w:gridCol w:w="4271"/>
      </w:tblGrid>
      <w:tr>
        <w:trPr>
          <w:trHeight w:val="405" w:hRule="atLeast"/>
          <w:jc w:val="center"/>
        </w:trPr>
        <w:tc>
          <w:tcPr>
            <w:tcW w:w="27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设备名称：潜污泵（污泥回流泵）</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设备位号：</w:t>
            </w:r>
            <w:r>
              <w:rPr>
                <w:rFonts w:ascii="Arial" w:hAnsi="Arial" w:cs="Arial"/>
                <w:color w:val="000000"/>
                <w:kern w:val="0"/>
                <w:sz w:val="24"/>
                <w:szCs w:val="24"/>
                <w:lang w:val="en-US"/>
              </w:rPr>
              <w:t>/</w:t>
            </w:r>
          </w:p>
        </w:tc>
      </w:tr>
      <w:tr>
        <w:tblPrEx>
          <w:tblCellMar>
            <w:top w:w="0" w:type="dxa"/>
            <w:left w:w="108" w:type="dxa"/>
            <w:bottom w:w="0" w:type="dxa"/>
            <w:right w:w="108" w:type="dxa"/>
          </w:tblCellMar>
        </w:tblPrEx>
        <w:trPr>
          <w:trHeight w:val="405" w:hRule="atLeast"/>
          <w:jc w:val="center"/>
        </w:trPr>
        <w:tc>
          <w:tcPr>
            <w:tcW w:w="27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rPr>
              <w:t>安装位置：</w:t>
            </w:r>
            <w:r>
              <w:rPr>
                <w:rFonts w:hint="eastAsia" w:ascii="宋体" w:hAnsi="宋体" w:cs="宋体"/>
                <w:color w:val="000000"/>
                <w:kern w:val="0"/>
                <w:sz w:val="24"/>
                <w:szCs w:val="24"/>
                <w:lang w:val="en-US" w:eastAsia="zh-CN"/>
              </w:rPr>
              <w:t>沉淀池 膜池</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eastAsia="宋体" w:cs="Arial"/>
                <w:color w:val="000000"/>
                <w:sz w:val="24"/>
                <w:szCs w:val="24"/>
                <w:lang w:val="en-US" w:eastAsia="zh-CN"/>
              </w:rPr>
            </w:pPr>
            <w:r>
              <w:rPr>
                <w:rFonts w:ascii="Arial" w:hAnsi="Arial" w:eastAsia="Tahoma" w:cs="Arial"/>
                <w:color w:val="000000"/>
                <w:kern w:val="0"/>
                <w:sz w:val="24"/>
                <w:szCs w:val="24"/>
                <w:lang w:val="en-US"/>
              </w:rPr>
              <w:t>数量（台）：</w:t>
            </w:r>
            <w:r>
              <w:rPr>
                <w:rFonts w:hint="eastAsia" w:ascii="Arial" w:hAnsi="Arial" w:eastAsia="宋体" w:cs="Arial"/>
                <w:color w:val="000000"/>
                <w:kern w:val="0"/>
                <w:sz w:val="24"/>
                <w:szCs w:val="24"/>
                <w:lang w:val="en-US" w:eastAsia="zh-CN"/>
              </w:rPr>
              <w:t>2</w:t>
            </w:r>
          </w:p>
        </w:tc>
      </w:tr>
      <w:tr>
        <w:tblPrEx>
          <w:tblCellMar>
            <w:top w:w="0" w:type="dxa"/>
            <w:left w:w="108" w:type="dxa"/>
            <w:bottom w:w="0" w:type="dxa"/>
            <w:right w:w="108" w:type="dxa"/>
          </w:tblCellMar>
        </w:tblPrEx>
        <w:trPr>
          <w:trHeight w:val="66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设备型号：WQ</w:t>
            </w:r>
            <w:r>
              <w:rPr>
                <w:rFonts w:hint="eastAsia" w:ascii="宋体" w:hAnsi="宋体" w:cs="宋体"/>
                <w:color w:val="000000"/>
                <w:kern w:val="0"/>
                <w:sz w:val="24"/>
                <w:szCs w:val="24"/>
                <w:lang w:val="en-US" w:eastAsia="zh-CN"/>
              </w:rPr>
              <w:t>40</w:t>
            </w:r>
            <w:r>
              <w:rPr>
                <w:rFonts w:hint="eastAsia" w:ascii="宋体" w:hAnsi="宋体" w:cs="宋体"/>
                <w:color w:val="000000"/>
                <w:kern w:val="0"/>
                <w:sz w:val="24"/>
                <w:szCs w:val="24"/>
                <w:lang w:val="en-US"/>
              </w:rPr>
              <w:t>-15-</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en-US"/>
              </w:rPr>
              <w:t>-DN65</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使用介质</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主要成分</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悬浊液及有机杂质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温度（℃）</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hint="eastAsia" w:ascii="宋体" w:hAnsi="宋体" w:cs="宋体"/>
                <w:color w:val="000000"/>
                <w:kern w:val="0"/>
                <w:sz w:val="24"/>
                <w:szCs w:val="24"/>
                <w:lang w:val="en-US"/>
              </w:rPr>
              <w:t>常温</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密度（kg/m3</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 ≤1050</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PH </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4~10</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性能参数</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★流量（m3/h</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eastAsia="宋体" w:cs="Arial"/>
                <w:color w:val="000000"/>
                <w:sz w:val="24"/>
                <w:szCs w:val="24"/>
                <w:lang w:val="en-US" w:eastAsia="zh-CN"/>
              </w:rPr>
            </w:pPr>
            <w:r>
              <w:rPr>
                <w:rFonts w:hint="eastAsia" w:ascii="Arial" w:hAnsi="Arial" w:eastAsia="宋体" w:cs="Arial"/>
                <w:color w:val="000000"/>
                <w:kern w:val="0"/>
                <w:sz w:val="24"/>
                <w:szCs w:val="24"/>
                <w:lang w:val="en-US" w:eastAsia="zh-CN"/>
              </w:rPr>
              <w:t>40</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★扬程（m</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15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★额定功率（kW</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eastAsia="宋体" w:cs="Arial"/>
                <w:color w:val="000000"/>
                <w:sz w:val="24"/>
                <w:szCs w:val="24"/>
                <w:lang w:eastAsia="zh-CN"/>
              </w:rPr>
            </w:pPr>
            <w:r>
              <w:rPr>
                <w:rFonts w:ascii="Arial" w:hAnsi="Arial" w:eastAsia="Tahoma" w:cs="Arial"/>
                <w:color w:val="000000"/>
                <w:kern w:val="0"/>
                <w:sz w:val="24"/>
                <w:szCs w:val="24"/>
                <w:lang w:val="en-US"/>
              </w:rPr>
              <w:t>≤</w:t>
            </w:r>
            <w:r>
              <w:rPr>
                <w:rFonts w:hint="eastAsia" w:ascii="Arial" w:hAnsi="Arial" w:eastAsia="宋体" w:cs="Arial"/>
                <w:color w:val="000000"/>
                <w:kern w:val="0"/>
                <w:sz w:val="24"/>
                <w:szCs w:val="24"/>
                <w:lang w:val="en-US" w:eastAsia="zh-CN"/>
              </w:rPr>
              <w:t>3</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结构</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型式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潜水立式</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传动方式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电动直联传动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密封形式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插入式密封</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离心式叶轮</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★冷却夹套</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★冲洗阀（泵坑自动冲洗装置） </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安装方式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自动耦合安装</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材料</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壳体灰口</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铸铁GG25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叶轮灰口</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铸铁GG25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主轴</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不锈钢431</w:t>
            </w:r>
          </w:p>
        </w:tc>
      </w:tr>
      <w:tr>
        <w:tblPrEx>
          <w:tblCellMar>
            <w:top w:w="0" w:type="dxa"/>
            <w:left w:w="108" w:type="dxa"/>
            <w:bottom w:w="0" w:type="dxa"/>
            <w:right w:w="108" w:type="dxa"/>
          </w:tblCellMar>
        </w:tblPrEx>
        <w:trPr>
          <w:trHeight w:val="750"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★密封</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耐腐蚀烧结碳化钨（WCCR</w:t>
            </w:r>
            <w:r>
              <w:rPr>
                <w:rFonts w:hint="eastAsia" w:ascii="宋体" w:hAnsi="宋体" w:cs="宋体"/>
                <w:color w:val="000000"/>
                <w:kern w:val="0"/>
                <w:sz w:val="24"/>
                <w:szCs w:val="24"/>
                <w:lang w:val="en-US"/>
              </w:rPr>
              <w:t>）</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导轨，提升链</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螺栓、螺母</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出水连接（耦合底座）</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hint="eastAsia" w:ascii="宋体" w:hAnsi="宋体" w:cs="宋体"/>
                <w:color w:val="000000"/>
                <w:kern w:val="0"/>
                <w:sz w:val="24"/>
                <w:szCs w:val="24"/>
                <w:lang w:val="en-US"/>
              </w:rPr>
              <w:t>灰口铸铁</w:t>
            </w:r>
            <w:r>
              <w:rPr>
                <w:rFonts w:ascii="Arial" w:hAnsi="Arial" w:eastAsia="Tahoma" w:cs="Arial"/>
                <w:color w:val="000000"/>
                <w:kern w:val="0"/>
                <w:sz w:val="24"/>
                <w:szCs w:val="24"/>
                <w:lang w:val="en-US"/>
              </w:rPr>
              <w:t>GG25</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所有连接附件、地脚螺栓</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405" w:hRule="atLeast"/>
          <w:jc w:val="center"/>
        </w:trPr>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电机</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电源</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380V 50HZ</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启动方式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直接启动</w:t>
            </w:r>
          </w:p>
        </w:tc>
      </w:tr>
      <w:tr>
        <w:tblPrEx>
          <w:tblCellMar>
            <w:top w:w="0" w:type="dxa"/>
            <w:left w:w="108" w:type="dxa"/>
            <w:bottom w:w="0" w:type="dxa"/>
            <w:right w:w="108" w:type="dxa"/>
          </w:tblCellMar>
        </w:tblPrEx>
        <w:trPr>
          <w:trHeight w:val="405" w:hRule="atLeast"/>
          <w:jc w:val="center"/>
        </w:trPr>
        <w:tc>
          <w:tcPr>
            <w:tcW w:w="8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★防护等级、绝缘等级I</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P68</w:t>
            </w:r>
            <w:r>
              <w:rPr>
                <w:rFonts w:hint="eastAsia" w:ascii="宋体" w:hAnsi="宋体" w:cs="宋体"/>
                <w:color w:val="000000"/>
                <w:kern w:val="0"/>
                <w:sz w:val="24"/>
                <w:szCs w:val="24"/>
                <w:lang w:val="en-US"/>
              </w:rPr>
              <w:t>、</w:t>
            </w:r>
            <w:r>
              <w:rPr>
                <w:rFonts w:ascii="Arial" w:hAnsi="Arial" w:eastAsia="Tahoma" w:cs="Arial"/>
                <w:color w:val="000000"/>
                <w:kern w:val="0"/>
                <w:sz w:val="24"/>
                <w:szCs w:val="24"/>
                <w:lang w:val="en-US"/>
              </w:rPr>
              <w:t>H</w:t>
            </w:r>
            <w:r>
              <w:rPr>
                <w:rFonts w:hint="eastAsia" w:ascii="宋体" w:hAnsi="宋体" w:cs="宋体"/>
                <w:color w:val="000000"/>
                <w:kern w:val="0"/>
                <w:sz w:val="24"/>
                <w:szCs w:val="24"/>
                <w:lang w:val="en-US"/>
              </w:rPr>
              <w:t>级</w:t>
            </w:r>
          </w:p>
        </w:tc>
      </w:tr>
      <w:tr>
        <w:tblPrEx>
          <w:tblCellMar>
            <w:top w:w="0" w:type="dxa"/>
            <w:left w:w="108" w:type="dxa"/>
            <w:bottom w:w="0" w:type="dxa"/>
            <w:right w:w="108" w:type="dxa"/>
          </w:tblCellMar>
        </w:tblPrEx>
        <w:trPr>
          <w:trHeight w:val="114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供货范围</w:t>
            </w:r>
          </w:p>
        </w:tc>
        <w:tc>
          <w:tcPr>
            <w:tcW w:w="4183" w:type="pct"/>
            <w:gridSpan w:val="2"/>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主机■驱动机■</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 xml:space="preserve">出水连接耦合装置■      </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 xml:space="preserve">导轨，提升链■          </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地脚螺栓■             其它附件等■</w:t>
            </w:r>
          </w:p>
        </w:tc>
      </w:tr>
      <w:tr>
        <w:tblPrEx>
          <w:tblCellMar>
            <w:top w:w="0" w:type="dxa"/>
            <w:left w:w="108" w:type="dxa"/>
            <w:bottom w:w="0" w:type="dxa"/>
            <w:right w:w="108" w:type="dxa"/>
          </w:tblCellMar>
        </w:tblPrEx>
        <w:trPr>
          <w:trHeight w:val="1580" w:hRule="atLeast"/>
          <w:jc w:val="center"/>
        </w:trPr>
        <w:tc>
          <w:tcPr>
            <w:tcW w:w="8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说明</w:t>
            </w:r>
          </w:p>
        </w:tc>
        <w:tc>
          <w:tcPr>
            <w:tcW w:w="41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val="en-US" w:eastAsia="zh-CN"/>
              </w:rPr>
            </w:pPr>
            <w:r>
              <w:rPr>
                <w:rFonts w:ascii="Arial" w:hAnsi="Arial" w:eastAsia="Tahoma" w:cs="Arial"/>
                <w:color w:val="000000"/>
                <w:kern w:val="0"/>
                <w:sz w:val="24"/>
                <w:szCs w:val="24"/>
                <w:lang w:val="en-US"/>
              </w:rPr>
              <w:t>1.</w:t>
            </w:r>
            <w:r>
              <w:rPr>
                <w:rFonts w:hint="eastAsia" w:ascii="宋体" w:hAnsi="宋体" w:cs="宋体"/>
                <w:color w:val="000000"/>
                <w:kern w:val="0"/>
                <w:sz w:val="24"/>
                <w:szCs w:val="24"/>
                <w:lang w:val="en-US"/>
              </w:rPr>
              <w:t>潜污泵成套供应，需包括所有安全、有效及可靠运行所需的附件，配套潜水电缆</w:t>
            </w:r>
            <w:r>
              <w:rPr>
                <w:rFonts w:ascii="Arial" w:hAnsi="Arial" w:eastAsia="Tahoma" w:cs="Arial"/>
                <w:color w:val="000000"/>
                <w:kern w:val="0"/>
                <w:sz w:val="24"/>
                <w:szCs w:val="24"/>
                <w:lang w:val="en-US"/>
              </w:rPr>
              <w:t>15</w:t>
            </w:r>
            <w:r>
              <w:rPr>
                <w:rFonts w:hint="eastAsia" w:ascii="宋体" w:hAnsi="宋体" w:cs="宋体"/>
                <w:color w:val="000000"/>
                <w:kern w:val="0"/>
                <w:sz w:val="24"/>
                <w:szCs w:val="24"/>
                <w:lang w:val="en-US"/>
              </w:rPr>
              <w:t>米</w:t>
            </w:r>
            <w:r>
              <w:rPr>
                <w:rFonts w:ascii="Arial" w:hAnsi="Arial" w:eastAsia="Tahoma" w:cs="Arial"/>
                <w:color w:val="000000"/>
                <w:kern w:val="0"/>
                <w:sz w:val="24"/>
                <w:szCs w:val="24"/>
                <w:lang w:val="en-US"/>
              </w:rPr>
              <w:t>/</w:t>
            </w:r>
            <w:r>
              <w:rPr>
                <w:rFonts w:hint="eastAsia" w:ascii="宋体" w:hAnsi="宋体" w:cs="宋体"/>
                <w:color w:val="000000"/>
                <w:kern w:val="0"/>
                <w:sz w:val="24"/>
                <w:szCs w:val="24"/>
                <w:lang w:val="en-US"/>
              </w:rPr>
              <w:t>台。</w:t>
            </w:r>
          </w:p>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2.</w:t>
            </w:r>
            <w:r>
              <w:rPr>
                <w:rFonts w:hint="eastAsia" w:ascii="宋体" w:hAnsi="宋体" w:cs="宋体"/>
                <w:color w:val="000000"/>
                <w:kern w:val="0"/>
                <w:sz w:val="24"/>
                <w:szCs w:val="24"/>
                <w:lang w:val="en-US"/>
              </w:rPr>
              <w:t>其它要求详见设备的一般及特殊技术要求。</w:t>
            </w:r>
          </w:p>
        </w:tc>
      </w:tr>
    </w:tbl>
    <w:p>
      <w:pPr>
        <w:rPr>
          <w:rFonts w:hint="eastAsia"/>
          <w:sz w:val="24"/>
          <w:szCs w:val="24"/>
          <w:lang w:val="en-US"/>
        </w:rPr>
      </w:pPr>
    </w:p>
    <w:tbl>
      <w:tblPr>
        <w:tblStyle w:val="18"/>
        <w:tblpPr w:leftFromText="180" w:rightFromText="180" w:vertAnchor="text" w:horzAnchor="page" w:tblpX="1455" w:tblpY="-50"/>
        <w:tblOverlap w:val="never"/>
        <w:tblW w:w="4999" w:type="pct"/>
        <w:tblInd w:w="0" w:type="dxa"/>
        <w:tblLayout w:type="autofit"/>
        <w:tblCellMar>
          <w:top w:w="0" w:type="dxa"/>
          <w:left w:w="108" w:type="dxa"/>
          <w:bottom w:w="0" w:type="dxa"/>
          <w:right w:w="108" w:type="dxa"/>
        </w:tblCellMar>
      </w:tblPr>
      <w:tblGrid>
        <w:gridCol w:w="1561"/>
        <w:gridCol w:w="3742"/>
        <w:gridCol w:w="4271"/>
      </w:tblGrid>
      <w:tr>
        <w:tblPrEx>
          <w:tblCellMar>
            <w:top w:w="0" w:type="dxa"/>
            <w:left w:w="108" w:type="dxa"/>
            <w:bottom w:w="0" w:type="dxa"/>
            <w:right w:w="108" w:type="dxa"/>
          </w:tblCellMar>
        </w:tblPrEx>
        <w:trPr>
          <w:trHeight w:val="405" w:hRule="atLeast"/>
        </w:trPr>
        <w:tc>
          <w:tcPr>
            <w:tcW w:w="27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设备名称：潜污泵（消化液回流泵）</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设备位号：/</w:t>
            </w:r>
          </w:p>
        </w:tc>
      </w:tr>
      <w:tr>
        <w:tblPrEx>
          <w:tblCellMar>
            <w:top w:w="0" w:type="dxa"/>
            <w:left w:w="108" w:type="dxa"/>
            <w:bottom w:w="0" w:type="dxa"/>
            <w:right w:w="108" w:type="dxa"/>
          </w:tblCellMar>
        </w:tblPrEx>
        <w:trPr>
          <w:trHeight w:val="448" w:hRule="atLeast"/>
        </w:trPr>
        <w:tc>
          <w:tcPr>
            <w:tcW w:w="27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安装位置：好氧池</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rPr>
              <w:t>数量（台）：</w:t>
            </w:r>
            <w:r>
              <w:rPr>
                <w:rFonts w:hint="eastAsia" w:ascii="宋体" w:hAnsi="宋体" w:cs="宋体"/>
                <w:color w:val="000000"/>
                <w:kern w:val="0"/>
                <w:sz w:val="24"/>
                <w:szCs w:val="24"/>
                <w:lang w:val="en-US" w:eastAsia="zh-CN"/>
              </w:rPr>
              <w:t>2</w:t>
            </w:r>
          </w:p>
        </w:tc>
      </w:tr>
      <w:tr>
        <w:tblPrEx>
          <w:tblCellMar>
            <w:top w:w="0" w:type="dxa"/>
            <w:left w:w="108" w:type="dxa"/>
            <w:bottom w:w="0" w:type="dxa"/>
            <w:right w:w="108" w:type="dxa"/>
          </w:tblCellMar>
        </w:tblPrEx>
        <w:trPr>
          <w:trHeight w:val="620" w:hRule="atLeast"/>
        </w:trPr>
        <w:tc>
          <w:tcPr>
            <w:tcW w:w="8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设备型号：WQ25-18-3.0-DN65</w:t>
            </w:r>
          </w:p>
        </w:tc>
      </w:tr>
      <w:tr>
        <w:tblPrEx>
          <w:tblCellMar>
            <w:top w:w="0" w:type="dxa"/>
            <w:left w:w="108" w:type="dxa"/>
            <w:bottom w:w="0" w:type="dxa"/>
            <w:right w:w="108" w:type="dxa"/>
          </w:tblCellMar>
        </w:tblPrEx>
        <w:trPr>
          <w:trHeight w:val="325" w:hRule="atLeast"/>
        </w:trPr>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介质</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主要成分</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悬浊液及有机杂质</w:t>
            </w:r>
          </w:p>
        </w:tc>
      </w:tr>
      <w:tr>
        <w:tblPrEx>
          <w:tblCellMar>
            <w:top w:w="0" w:type="dxa"/>
            <w:left w:w="108" w:type="dxa"/>
            <w:bottom w:w="0" w:type="dxa"/>
            <w:right w:w="108" w:type="dxa"/>
          </w:tblCellMar>
        </w:tblPrEx>
        <w:trPr>
          <w:trHeight w:val="31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温度（℃）</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hint="eastAsia" w:ascii="宋体" w:hAnsi="宋体" w:cs="宋体"/>
                <w:color w:val="000000"/>
                <w:kern w:val="0"/>
                <w:sz w:val="24"/>
                <w:szCs w:val="24"/>
                <w:lang w:val="en-US"/>
              </w:rPr>
              <w:t>常温</w:t>
            </w:r>
          </w:p>
        </w:tc>
      </w:tr>
      <w:tr>
        <w:tblPrEx>
          <w:tblCellMar>
            <w:top w:w="0" w:type="dxa"/>
            <w:left w:w="108" w:type="dxa"/>
            <w:bottom w:w="0" w:type="dxa"/>
            <w:right w:w="108" w:type="dxa"/>
          </w:tblCellMar>
        </w:tblPrEx>
        <w:trPr>
          <w:trHeight w:val="40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密度（kg/m3</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 ≤1050</w:t>
            </w:r>
          </w:p>
        </w:tc>
      </w:tr>
      <w:tr>
        <w:tblPrEx>
          <w:tblCellMar>
            <w:top w:w="0" w:type="dxa"/>
            <w:left w:w="108" w:type="dxa"/>
            <w:bottom w:w="0" w:type="dxa"/>
            <w:right w:w="108" w:type="dxa"/>
          </w:tblCellMar>
        </w:tblPrEx>
        <w:trPr>
          <w:trHeight w:val="29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PH </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4~10</w:t>
            </w:r>
          </w:p>
        </w:tc>
      </w:tr>
      <w:tr>
        <w:tblPrEx>
          <w:tblCellMar>
            <w:top w:w="0" w:type="dxa"/>
            <w:left w:w="108" w:type="dxa"/>
            <w:bottom w:w="0" w:type="dxa"/>
            <w:right w:w="108" w:type="dxa"/>
          </w:tblCellMar>
        </w:tblPrEx>
        <w:trPr>
          <w:trHeight w:val="315" w:hRule="atLeast"/>
        </w:trPr>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性能参数</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★流量（m3/h</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25</w:t>
            </w:r>
          </w:p>
        </w:tc>
      </w:tr>
      <w:tr>
        <w:tblPrEx>
          <w:tblCellMar>
            <w:top w:w="0" w:type="dxa"/>
            <w:left w:w="108" w:type="dxa"/>
            <w:bottom w:w="0" w:type="dxa"/>
            <w:right w:w="108" w:type="dxa"/>
          </w:tblCellMar>
        </w:tblPrEx>
        <w:trPr>
          <w:trHeight w:val="28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★扬程（m</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18</w:t>
            </w:r>
          </w:p>
        </w:tc>
      </w:tr>
      <w:tr>
        <w:tblPrEx>
          <w:tblCellMar>
            <w:top w:w="0" w:type="dxa"/>
            <w:left w:w="108" w:type="dxa"/>
            <w:bottom w:w="0" w:type="dxa"/>
            <w:right w:w="108" w:type="dxa"/>
          </w:tblCellMar>
        </w:tblPrEx>
        <w:trPr>
          <w:trHeight w:val="40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★水泵效率（％） </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≥80</w:t>
            </w:r>
          </w:p>
        </w:tc>
      </w:tr>
      <w:tr>
        <w:tblPrEx>
          <w:tblCellMar>
            <w:top w:w="0" w:type="dxa"/>
            <w:left w:w="108" w:type="dxa"/>
            <w:bottom w:w="0" w:type="dxa"/>
            <w:right w:w="108" w:type="dxa"/>
          </w:tblCellMar>
        </w:tblPrEx>
        <w:trPr>
          <w:trHeight w:val="20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★额定功率（kW</w:t>
            </w:r>
            <w:r>
              <w:rPr>
                <w:rFonts w:hint="eastAsia" w:ascii="宋体" w:hAnsi="宋体" w:cs="宋体"/>
                <w:color w:val="000000"/>
                <w:kern w:val="0"/>
                <w:sz w:val="24"/>
                <w:szCs w:val="24"/>
                <w:lang w:val="en-US"/>
              </w:rPr>
              <w:t>）</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≤3</w:t>
            </w:r>
          </w:p>
        </w:tc>
      </w:tr>
      <w:tr>
        <w:tblPrEx>
          <w:tblCellMar>
            <w:top w:w="0" w:type="dxa"/>
            <w:left w:w="108" w:type="dxa"/>
            <w:bottom w:w="0" w:type="dxa"/>
            <w:right w:w="108" w:type="dxa"/>
          </w:tblCellMar>
        </w:tblPrEx>
        <w:trPr>
          <w:trHeight w:val="285" w:hRule="atLeast"/>
        </w:trPr>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结构</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型式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潜水立式</w:t>
            </w:r>
          </w:p>
        </w:tc>
      </w:tr>
      <w:tr>
        <w:tblPrEx>
          <w:tblCellMar>
            <w:top w:w="0" w:type="dxa"/>
            <w:left w:w="108" w:type="dxa"/>
            <w:bottom w:w="0" w:type="dxa"/>
            <w:right w:w="108" w:type="dxa"/>
          </w:tblCellMar>
        </w:tblPrEx>
        <w:trPr>
          <w:trHeight w:val="27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传动方式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电动直联传动</w:t>
            </w:r>
          </w:p>
        </w:tc>
      </w:tr>
      <w:tr>
        <w:tblPrEx>
          <w:tblCellMar>
            <w:top w:w="0" w:type="dxa"/>
            <w:left w:w="108" w:type="dxa"/>
            <w:bottom w:w="0" w:type="dxa"/>
            <w:right w:w="108" w:type="dxa"/>
          </w:tblCellMar>
        </w:tblPrEx>
        <w:trPr>
          <w:trHeight w:val="27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密封形式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插入式密封</w:t>
            </w:r>
          </w:p>
        </w:tc>
      </w:tr>
      <w:tr>
        <w:tblPrEx>
          <w:tblCellMar>
            <w:top w:w="0" w:type="dxa"/>
            <w:left w:w="108" w:type="dxa"/>
            <w:bottom w:w="0" w:type="dxa"/>
            <w:right w:w="108" w:type="dxa"/>
          </w:tblCellMar>
        </w:tblPrEx>
        <w:trPr>
          <w:trHeight w:val="30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离心式叶轮</w:t>
            </w:r>
          </w:p>
        </w:tc>
      </w:tr>
      <w:tr>
        <w:tblPrEx>
          <w:tblCellMar>
            <w:top w:w="0" w:type="dxa"/>
            <w:left w:w="108" w:type="dxa"/>
            <w:bottom w:w="0" w:type="dxa"/>
            <w:right w:w="108" w:type="dxa"/>
          </w:tblCellMar>
        </w:tblPrEx>
        <w:trPr>
          <w:trHeight w:val="22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★冷却夹套</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484"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 xml:space="preserve">★冲洗阀（泵坑自动冲洗装置） </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与水泵匹配</w:t>
            </w:r>
          </w:p>
        </w:tc>
      </w:tr>
      <w:tr>
        <w:tblPrEx>
          <w:tblCellMar>
            <w:top w:w="0" w:type="dxa"/>
            <w:left w:w="108" w:type="dxa"/>
            <w:bottom w:w="0" w:type="dxa"/>
            <w:right w:w="108" w:type="dxa"/>
          </w:tblCellMar>
        </w:tblPrEx>
        <w:trPr>
          <w:trHeight w:val="27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安装方式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自动耦合安装</w:t>
            </w:r>
          </w:p>
        </w:tc>
      </w:tr>
      <w:tr>
        <w:tblPrEx>
          <w:tblCellMar>
            <w:top w:w="0" w:type="dxa"/>
            <w:left w:w="108" w:type="dxa"/>
            <w:bottom w:w="0" w:type="dxa"/>
            <w:right w:w="108" w:type="dxa"/>
          </w:tblCellMar>
        </w:tblPrEx>
        <w:trPr>
          <w:trHeight w:val="295" w:hRule="atLeast"/>
        </w:trPr>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材料</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壳体灰口</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铸铁GG25</w:t>
            </w:r>
          </w:p>
        </w:tc>
      </w:tr>
      <w:tr>
        <w:tblPrEx>
          <w:tblCellMar>
            <w:top w:w="0" w:type="dxa"/>
            <w:left w:w="108" w:type="dxa"/>
            <w:bottom w:w="0" w:type="dxa"/>
            <w:right w:w="108" w:type="dxa"/>
          </w:tblCellMar>
        </w:tblPrEx>
        <w:trPr>
          <w:trHeight w:val="26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叶轮灰口</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铸铁GG25</w:t>
            </w:r>
          </w:p>
        </w:tc>
      </w:tr>
      <w:tr>
        <w:tblPrEx>
          <w:tblCellMar>
            <w:top w:w="0" w:type="dxa"/>
            <w:left w:w="108" w:type="dxa"/>
            <w:bottom w:w="0" w:type="dxa"/>
            <w:right w:w="108" w:type="dxa"/>
          </w:tblCellMar>
        </w:tblPrEx>
        <w:trPr>
          <w:trHeight w:val="27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主轴</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不锈钢</w:t>
            </w:r>
            <w:r>
              <w:rPr>
                <w:rFonts w:ascii="Arial" w:hAnsi="Arial" w:cs="Arial"/>
                <w:color w:val="000000"/>
                <w:kern w:val="0"/>
                <w:sz w:val="24"/>
                <w:szCs w:val="24"/>
                <w:lang w:val="en-US"/>
              </w:rPr>
              <w:t>431</w:t>
            </w:r>
          </w:p>
        </w:tc>
      </w:tr>
      <w:tr>
        <w:tblPrEx>
          <w:tblCellMar>
            <w:top w:w="0" w:type="dxa"/>
            <w:left w:w="108" w:type="dxa"/>
            <w:bottom w:w="0" w:type="dxa"/>
            <w:right w:w="108" w:type="dxa"/>
          </w:tblCellMar>
        </w:tblPrEx>
        <w:trPr>
          <w:trHeight w:val="43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★密封</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耐腐蚀烧结碳化钨（WCCR</w:t>
            </w:r>
            <w:r>
              <w:rPr>
                <w:rFonts w:hint="eastAsia" w:ascii="宋体" w:hAnsi="宋体" w:cs="宋体"/>
                <w:color w:val="000000"/>
                <w:kern w:val="0"/>
                <w:sz w:val="24"/>
                <w:szCs w:val="24"/>
                <w:lang w:val="en-US"/>
              </w:rPr>
              <w:t>）</w:t>
            </w:r>
          </w:p>
        </w:tc>
      </w:tr>
      <w:tr>
        <w:tblPrEx>
          <w:tblCellMar>
            <w:top w:w="0" w:type="dxa"/>
            <w:left w:w="108" w:type="dxa"/>
            <w:bottom w:w="0" w:type="dxa"/>
            <w:right w:w="108" w:type="dxa"/>
          </w:tblCellMar>
        </w:tblPrEx>
        <w:trPr>
          <w:trHeight w:val="29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导轨，提升链</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29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螺栓、螺母</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29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出水连接（耦合底座）</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hint="eastAsia" w:ascii="宋体" w:hAnsi="宋体" w:cs="宋体"/>
                <w:color w:val="000000"/>
                <w:kern w:val="0"/>
                <w:sz w:val="24"/>
                <w:szCs w:val="24"/>
                <w:lang w:val="en-US"/>
              </w:rPr>
              <w:t>灰口铸铁</w:t>
            </w:r>
            <w:r>
              <w:rPr>
                <w:rFonts w:ascii="Arial" w:hAnsi="Arial" w:eastAsia="Tahoma" w:cs="Arial"/>
                <w:color w:val="000000"/>
                <w:kern w:val="0"/>
                <w:sz w:val="24"/>
                <w:szCs w:val="24"/>
                <w:lang w:val="en-US"/>
              </w:rPr>
              <w:t>GG25</w:t>
            </w:r>
          </w:p>
        </w:tc>
      </w:tr>
      <w:tr>
        <w:tblPrEx>
          <w:tblCellMar>
            <w:top w:w="0" w:type="dxa"/>
            <w:left w:w="108" w:type="dxa"/>
            <w:bottom w:w="0" w:type="dxa"/>
            <w:right w:w="108" w:type="dxa"/>
          </w:tblCellMar>
        </w:tblPrEx>
        <w:trPr>
          <w:trHeight w:val="29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所有连接附件、地脚螺栓</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不锈钢304</w:t>
            </w:r>
          </w:p>
        </w:tc>
      </w:tr>
      <w:tr>
        <w:tblPrEx>
          <w:tblCellMar>
            <w:top w:w="0" w:type="dxa"/>
            <w:left w:w="108" w:type="dxa"/>
            <w:bottom w:w="0" w:type="dxa"/>
            <w:right w:w="108" w:type="dxa"/>
          </w:tblCellMar>
        </w:tblPrEx>
        <w:trPr>
          <w:trHeight w:val="255" w:hRule="atLeast"/>
        </w:trPr>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电机</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电源</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380V 50HZ</w:t>
            </w:r>
          </w:p>
        </w:tc>
      </w:tr>
      <w:tr>
        <w:tblPrEx>
          <w:tblCellMar>
            <w:top w:w="0" w:type="dxa"/>
            <w:left w:w="108" w:type="dxa"/>
            <w:bottom w:w="0" w:type="dxa"/>
            <w:right w:w="108" w:type="dxa"/>
          </w:tblCellMar>
        </w:tblPrEx>
        <w:trPr>
          <w:trHeight w:val="31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启动方式</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直接启动</w:t>
            </w:r>
          </w:p>
        </w:tc>
      </w:tr>
      <w:tr>
        <w:tblPrEx>
          <w:tblCellMar>
            <w:top w:w="0" w:type="dxa"/>
            <w:left w:w="108" w:type="dxa"/>
            <w:bottom w:w="0" w:type="dxa"/>
            <w:right w:w="108" w:type="dxa"/>
          </w:tblCellMar>
        </w:tblPrEx>
        <w:trPr>
          <w:trHeight w:val="335" w:hRule="atLeast"/>
        </w:trPr>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4"/>
                <w:szCs w:val="24"/>
              </w:rPr>
            </w:pPr>
          </w:p>
        </w:tc>
        <w:tc>
          <w:tcPr>
            <w:tcW w:w="19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★防护等级、绝缘等级I</w:t>
            </w:r>
          </w:p>
        </w:tc>
        <w:tc>
          <w:tcPr>
            <w:tcW w:w="2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P68</w:t>
            </w:r>
            <w:r>
              <w:rPr>
                <w:rFonts w:hint="eastAsia" w:ascii="宋体" w:hAnsi="宋体" w:cs="宋体"/>
                <w:color w:val="000000"/>
                <w:kern w:val="0"/>
                <w:sz w:val="24"/>
                <w:szCs w:val="24"/>
                <w:lang w:val="en-US"/>
              </w:rPr>
              <w:t>、</w:t>
            </w:r>
            <w:r>
              <w:rPr>
                <w:rFonts w:ascii="Arial" w:hAnsi="Arial" w:eastAsia="Tahoma" w:cs="Arial"/>
                <w:color w:val="000000"/>
                <w:kern w:val="0"/>
                <w:sz w:val="24"/>
                <w:szCs w:val="24"/>
                <w:lang w:val="en-US"/>
              </w:rPr>
              <w:t>H</w:t>
            </w:r>
            <w:r>
              <w:rPr>
                <w:rFonts w:hint="eastAsia" w:ascii="宋体" w:hAnsi="宋体" w:cs="宋体"/>
                <w:color w:val="000000"/>
                <w:kern w:val="0"/>
                <w:sz w:val="24"/>
                <w:szCs w:val="24"/>
                <w:lang w:val="en-US"/>
              </w:rPr>
              <w:t>级</w:t>
            </w:r>
          </w:p>
        </w:tc>
      </w:tr>
      <w:tr>
        <w:tblPrEx>
          <w:tblCellMar>
            <w:top w:w="0" w:type="dxa"/>
            <w:left w:w="108" w:type="dxa"/>
            <w:bottom w:w="0" w:type="dxa"/>
            <w:right w:w="108" w:type="dxa"/>
          </w:tblCellMar>
        </w:tblPrEx>
        <w:trPr>
          <w:trHeight w:val="1188" w:hRule="atLeast"/>
        </w:trPr>
        <w:tc>
          <w:tcPr>
            <w:tcW w:w="8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供货范围</w:t>
            </w:r>
          </w:p>
        </w:tc>
        <w:tc>
          <w:tcPr>
            <w:tcW w:w="4184" w:type="pct"/>
            <w:gridSpan w:val="2"/>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主机■驱动机■</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 xml:space="preserve">出水连接耦合装置■      </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rPr>
              <w:t xml:space="preserve">导轨，提升链■          </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rPr>
              <w:t>地脚螺栓■             其它附件等■</w:t>
            </w:r>
          </w:p>
        </w:tc>
      </w:tr>
      <w:tr>
        <w:tblPrEx>
          <w:tblCellMar>
            <w:top w:w="0" w:type="dxa"/>
            <w:left w:w="108" w:type="dxa"/>
            <w:bottom w:w="0" w:type="dxa"/>
            <w:right w:w="108" w:type="dxa"/>
          </w:tblCellMar>
        </w:tblPrEx>
        <w:trPr>
          <w:trHeight w:val="1240" w:hRule="atLeast"/>
        </w:trPr>
        <w:tc>
          <w:tcPr>
            <w:tcW w:w="8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说明</w:t>
            </w:r>
          </w:p>
        </w:tc>
        <w:tc>
          <w:tcPr>
            <w:tcW w:w="41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val="en-US" w:eastAsia="zh-CN"/>
              </w:rPr>
            </w:pPr>
            <w:r>
              <w:rPr>
                <w:rFonts w:ascii="Arial" w:hAnsi="Arial" w:eastAsia="Tahoma" w:cs="Arial"/>
                <w:color w:val="000000"/>
                <w:kern w:val="0"/>
                <w:sz w:val="24"/>
                <w:szCs w:val="24"/>
                <w:lang w:val="en-US"/>
              </w:rPr>
              <w:t>1.</w:t>
            </w:r>
            <w:r>
              <w:rPr>
                <w:rFonts w:hint="eastAsia" w:ascii="宋体" w:hAnsi="宋体" w:cs="宋体"/>
                <w:color w:val="000000"/>
                <w:kern w:val="0"/>
                <w:sz w:val="24"/>
                <w:szCs w:val="24"/>
                <w:lang w:val="en-US"/>
              </w:rPr>
              <w:t>潜污泵成套供应，需包括所有安全、有效及可靠运行所需的附件，配套潜水电缆</w:t>
            </w:r>
            <w:r>
              <w:rPr>
                <w:rFonts w:ascii="Arial" w:hAnsi="Arial" w:eastAsia="Tahoma" w:cs="Arial"/>
                <w:color w:val="000000"/>
                <w:kern w:val="0"/>
                <w:sz w:val="24"/>
                <w:szCs w:val="24"/>
                <w:lang w:val="en-US"/>
              </w:rPr>
              <w:t>15</w:t>
            </w:r>
            <w:r>
              <w:rPr>
                <w:rFonts w:hint="eastAsia" w:ascii="宋体" w:hAnsi="宋体" w:cs="宋体"/>
                <w:color w:val="000000"/>
                <w:kern w:val="0"/>
                <w:sz w:val="24"/>
                <w:szCs w:val="24"/>
                <w:lang w:val="en-US"/>
              </w:rPr>
              <w:t>米</w:t>
            </w:r>
            <w:r>
              <w:rPr>
                <w:rFonts w:ascii="Arial" w:hAnsi="Arial" w:eastAsia="Tahoma" w:cs="Arial"/>
                <w:color w:val="000000"/>
                <w:kern w:val="0"/>
                <w:sz w:val="24"/>
                <w:szCs w:val="24"/>
                <w:lang w:val="en-US"/>
              </w:rPr>
              <w:t>/</w:t>
            </w:r>
            <w:r>
              <w:rPr>
                <w:rFonts w:hint="eastAsia" w:ascii="宋体" w:hAnsi="宋体" w:cs="宋体"/>
                <w:color w:val="000000"/>
                <w:kern w:val="0"/>
                <w:sz w:val="24"/>
                <w:szCs w:val="24"/>
                <w:lang w:val="en-US"/>
              </w:rPr>
              <w:t>台。</w:t>
            </w:r>
          </w:p>
          <w:p>
            <w:pPr>
              <w:widowControl/>
              <w:jc w:val="center"/>
              <w:textAlignment w:val="center"/>
              <w:rPr>
                <w:rFonts w:ascii="Arial" w:hAnsi="Arial" w:eastAsia="Tahoma" w:cs="Arial"/>
                <w:color w:val="000000"/>
                <w:sz w:val="24"/>
                <w:szCs w:val="24"/>
              </w:rPr>
            </w:pPr>
            <w:r>
              <w:rPr>
                <w:rFonts w:ascii="Arial" w:hAnsi="Arial" w:eastAsia="Tahoma" w:cs="Arial"/>
                <w:color w:val="000000"/>
                <w:kern w:val="0"/>
                <w:sz w:val="24"/>
                <w:szCs w:val="24"/>
                <w:lang w:val="en-US"/>
              </w:rPr>
              <w:t>2.</w:t>
            </w:r>
            <w:r>
              <w:rPr>
                <w:rFonts w:hint="eastAsia" w:ascii="宋体" w:hAnsi="宋体" w:cs="宋体"/>
                <w:color w:val="000000"/>
                <w:kern w:val="0"/>
                <w:sz w:val="24"/>
                <w:szCs w:val="24"/>
                <w:lang w:val="en-US"/>
              </w:rPr>
              <w:t>其它要求详见设备的一般及特殊技术要求。</w:t>
            </w:r>
          </w:p>
        </w:tc>
      </w:tr>
    </w:tbl>
    <w:p>
      <w:pPr>
        <w:pStyle w:val="5"/>
        <w:keepNext/>
        <w:keepLines/>
        <w:pageBreakBefore w:val="0"/>
        <w:widowControl/>
        <w:kinsoku w:val="0"/>
        <w:wordWrap/>
        <w:overflowPunct/>
        <w:topLinePunct w:val="0"/>
        <w:autoSpaceDE w:val="0"/>
        <w:autoSpaceDN w:val="0"/>
        <w:bidi w:val="0"/>
        <w:adjustRightInd w:val="0"/>
        <w:snapToGrid w:val="0"/>
        <w:spacing w:before="0" w:after="0" w:line="413" w:lineRule="auto"/>
        <w:textAlignment w:val="baseline"/>
        <w:rPr>
          <w:rFonts w:hint="eastAsia"/>
        </w:rPr>
      </w:pPr>
    </w:p>
    <w:p>
      <w:pPr>
        <w:pStyle w:val="5"/>
        <w:rPr>
          <w:rFonts w:hint="eastAsia"/>
        </w:rPr>
      </w:pPr>
    </w:p>
    <w:p>
      <w:pPr>
        <w:rPr>
          <w:rFonts w:hint="eastAsia"/>
          <w:lang w:val="en-US"/>
        </w:rPr>
      </w:pPr>
    </w:p>
    <w:p>
      <w:pPr>
        <w:rPr>
          <w:rFonts w:hint="eastAsia"/>
          <w:lang w:val="en-US"/>
        </w:rPr>
      </w:pPr>
      <w:r>
        <w:rPr>
          <w:rFonts w:hint="eastAsia"/>
          <w:lang w:val="en-US"/>
        </w:rPr>
        <w:br w:type="page"/>
      </w:r>
      <w:r>
        <w:rPr>
          <w:rFonts w:hint="eastAsia"/>
          <w:b/>
          <w:bCs/>
          <w:lang w:val="en-US"/>
        </w:rPr>
        <w:t>5.2、潜水搅拌器</w:t>
      </w:r>
    </w:p>
    <w:tbl>
      <w:tblPr>
        <w:tblStyle w:val="18"/>
        <w:tblW w:w="5000" w:type="pct"/>
        <w:jc w:val="center"/>
        <w:tblLayout w:type="autofit"/>
        <w:tblCellMar>
          <w:top w:w="0" w:type="dxa"/>
          <w:left w:w="108" w:type="dxa"/>
          <w:bottom w:w="0" w:type="dxa"/>
          <w:right w:w="108" w:type="dxa"/>
        </w:tblCellMar>
      </w:tblPr>
      <w:tblGrid>
        <w:gridCol w:w="1768"/>
        <w:gridCol w:w="3945"/>
        <w:gridCol w:w="3863"/>
      </w:tblGrid>
      <w:tr>
        <w:tblPrEx>
          <w:tblCellMar>
            <w:top w:w="0" w:type="dxa"/>
            <w:left w:w="108" w:type="dxa"/>
            <w:bottom w:w="0" w:type="dxa"/>
            <w:right w:w="108" w:type="dxa"/>
          </w:tblCellMar>
        </w:tblPrEx>
        <w:trPr>
          <w:trHeight w:val="42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b/>
                <w:bCs/>
                <w:color w:val="000000"/>
                <w:sz w:val="22"/>
                <w:szCs w:val="22"/>
              </w:rPr>
            </w:pPr>
            <w:r>
              <w:rPr>
                <w:rFonts w:ascii="Arial" w:hAnsi="Arial" w:eastAsia="Tahoma" w:cs="Arial"/>
                <w:b/>
                <w:bCs/>
                <w:color w:val="000000"/>
                <w:kern w:val="0"/>
                <w:sz w:val="22"/>
                <w:szCs w:val="22"/>
                <w:lang w:val="en-US"/>
              </w:rPr>
              <w:t>潜水搅拌机技术规格参数数据表</w:t>
            </w:r>
          </w:p>
        </w:tc>
      </w:tr>
      <w:tr>
        <w:tblPrEx>
          <w:tblCellMar>
            <w:top w:w="0" w:type="dxa"/>
            <w:left w:w="108" w:type="dxa"/>
            <w:bottom w:w="0" w:type="dxa"/>
            <w:right w:w="108" w:type="dxa"/>
          </w:tblCellMar>
        </w:tblPrEx>
        <w:trPr>
          <w:trHeight w:val="420" w:hRule="atLeast"/>
          <w:jc w:val="center"/>
        </w:trPr>
        <w:tc>
          <w:tcPr>
            <w:tcW w:w="29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设备名称：潜水搅拌机</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rPr>
              <w:t>设备位号：</w:t>
            </w:r>
            <w:r>
              <w:rPr>
                <w:rFonts w:ascii="Arial" w:hAnsi="Arial" w:cs="Arial"/>
                <w:color w:val="000000"/>
                <w:kern w:val="0"/>
                <w:sz w:val="22"/>
                <w:szCs w:val="22"/>
                <w:lang w:val="en-US"/>
              </w:rPr>
              <w:t>/</w:t>
            </w:r>
          </w:p>
        </w:tc>
      </w:tr>
      <w:tr>
        <w:tblPrEx>
          <w:tblCellMar>
            <w:top w:w="0" w:type="dxa"/>
            <w:left w:w="108" w:type="dxa"/>
            <w:bottom w:w="0" w:type="dxa"/>
            <w:right w:w="108" w:type="dxa"/>
          </w:tblCellMar>
        </w:tblPrEx>
        <w:trPr>
          <w:trHeight w:val="420" w:hRule="atLeast"/>
          <w:jc w:val="center"/>
        </w:trPr>
        <w:tc>
          <w:tcPr>
            <w:tcW w:w="29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rPr>
              <w:t>安装位置：水解酸化池、缺氧池</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rPr>
              <w:t>数量（台）：</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640" w:hRule="atLeast"/>
          <w:jc w:val="center"/>
        </w:trPr>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Arial" w:hAnsi="Arial" w:eastAsia="Tahoma" w:cs="Arial"/>
                <w:color w:val="000000"/>
                <w:sz w:val="22"/>
                <w:szCs w:val="22"/>
              </w:rPr>
            </w:pP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rPr>
              <w:t>设备型号：QJB-1.5/8，N=1.5kw</w:t>
            </w:r>
          </w:p>
        </w:tc>
      </w:tr>
      <w:tr>
        <w:tblPrEx>
          <w:tblCellMar>
            <w:top w:w="0" w:type="dxa"/>
            <w:left w:w="108" w:type="dxa"/>
            <w:bottom w:w="0" w:type="dxa"/>
            <w:right w:w="108" w:type="dxa"/>
          </w:tblCellMar>
        </w:tblPrEx>
        <w:trPr>
          <w:trHeight w:val="420" w:hRule="atLeast"/>
          <w:jc w:val="center"/>
        </w:trPr>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主要成分</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悬浊液及有机杂质</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温度（℃）</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hint="eastAsia" w:ascii="宋体" w:hAnsi="宋体" w:cs="宋体"/>
                <w:color w:val="000000"/>
                <w:kern w:val="0"/>
                <w:sz w:val="22"/>
                <w:szCs w:val="22"/>
                <w:lang w:val="en-US"/>
              </w:rPr>
              <w:t>常温</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密度（kg/m3</w:t>
            </w:r>
            <w:r>
              <w:rPr>
                <w:rFonts w:hint="eastAsia" w:ascii="宋体" w:hAnsi="宋体" w:cs="宋体"/>
                <w:color w:val="000000"/>
                <w:kern w:val="0"/>
                <w:sz w:val="22"/>
                <w:szCs w:val="22"/>
                <w:lang w:val="en-US"/>
              </w:rPr>
              <w:t>）</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 xml:space="preserve"> ≤1050</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 xml:space="preserve">PH </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4~10</w:t>
            </w:r>
          </w:p>
        </w:tc>
      </w:tr>
      <w:tr>
        <w:tblPrEx>
          <w:tblCellMar>
            <w:top w:w="0" w:type="dxa"/>
            <w:left w:w="108" w:type="dxa"/>
            <w:bottom w:w="0" w:type="dxa"/>
            <w:right w:w="108" w:type="dxa"/>
          </w:tblCellMar>
        </w:tblPrEx>
        <w:trPr>
          <w:trHeight w:val="420" w:hRule="atLeast"/>
          <w:jc w:val="center"/>
        </w:trPr>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性能参数</w:t>
            </w: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直径（mm</w:t>
            </w:r>
            <w:r>
              <w:rPr>
                <w:rFonts w:hint="eastAsia" w:ascii="宋体" w:hAnsi="宋体" w:cs="宋体"/>
                <w:color w:val="000000"/>
                <w:kern w:val="0"/>
                <w:sz w:val="22"/>
                <w:szCs w:val="22"/>
                <w:lang w:val="en-US"/>
              </w:rPr>
              <w:t>）</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2500</w:t>
            </w:r>
          </w:p>
        </w:tc>
      </w:tr>
      <w:tr>
        <w:tblPrEx>
          <w:tblCellMar>
            <w:top w:w="0" w:type="dxa"/>
            <w:left w:w="108" w:type="dxa"/>
            <w:bottom w:w="0" w:type="dxa"/>
            <w:right w:w="108" w:type="dxa"/>
          </w:tblCellMar>
        </w:tblPrEx>
        <w:trPr>
          <w:trHeight w:val="60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★保证池底平均流速（m/s</w:t>
            </w:r>
            <w:r>
              <w:rPr>
                <w:rFonts w:hint="eastAsia" w:ascii="宋体" w:hAnsi="宋体" w:cs="宋体"/>
                <w:color w:val="000000"/>
                <w:kern w:val="0"/>
                <w:sz w:val="22"/>
                <w:szCs w:val="22"/>
                <w:lang w:val="en-US"/>
              </w:rPr>
              <w:t>）</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0.3</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★额定功率（kW</w:t>
            </w:r>
            <w:r>
              <w:rPr>
                <w:rFonts w:hint="eastAsia" w:ascii="宋体" w:hAnsi="宋体" w:cs="宋体"/>
                <w:color w:val="000000"/>
                <w:kern w:val="0"/>
                <w:sz w:val="22"/>
                <w:szCs w:val="22"/>
                <w:lang w:val="en-US"/>
              </w:rPr>
              <w:t>）</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eastAsia="宋体" w:cs="Arial"/>
                <w:color w:val="000000"/>
                <w:sz w:val="22"/>
                <w:szCs w:val="22"/>
                <w:lang w:val="en-US" w:eastAsia="zh-CN"/>
              </w:rPr>
            </w:pPr>
            <w:r>
              <w:rPr>
                <w:rFonts w:ascii="Arial" w:hAnsi="Arial" w:eastAsia="Tahoma" w:cs="Arial"/>
                <w:color w:val="000000"/>
                <w:kern w:val="0"/>
                <w:sz w:val="22"/>
                <w:szCs w:val="22"/>
                <w:lang w:val="en-US"/>
              </w:rPr>
              <w:t>≤</w:t>
            </w:r>
            <w:r>
              <w:rPr>
                <w:rFonts w:hint="eastAsia" w:ascii="Arial" w:hAnsi="Arial" w:eastAsia="宋体" w:cs="Arial"/>
                <w:color w:val="000000"/>
                <w:kern w:val="0"/>
                <w:sz w:val="22"/>
                <w:szCs w:val="22"/>
                <w:lang w:val="en-US" w:eastAsia="zh-CN"/>
              </w:rPr>
              <w:t>0.75</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转速（rpm</w:t>
            </w:r>
            <w:r>
              <w:rPr>
                <w:rFonts w:hint="eastAsia" w:ascii="宋体" w:hAnsi="宋体" w:cs="宋体"/>
                <w:color w:val="000000"/>
                <w:kern w:val="0"/>
                <w:sz w:val="22"/>
                <w:szCs w:val="22"/>
                <w:lang w:val="en-US"/>
              </w:rPr>
              <w:t>）</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40</w:t>
            </w:r>
          </w:p>
        </w:tc>
      </w:tr>
      <w:tr>
        <w:tblPrEx>
          <w:tblCellMar>
            <w:top w:w="0" w:type="dxa"/>
            <w:left w:w="108" w:type="dxa"/>
            <w:bottom w:w="0" w:type="dxa"/>
            <w:right w:w="108" w:type="dxa"/>
          </w:tblCellMar>
        </w:tblPrEx>
        <w:trPr>
          <w:trHeight w:val="420" w:hRule="atLeast"/>
          <w:jc w:val="center"/>
        </w:trPr>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结构</w:t>
            </w: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型式潜水型</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潜水式</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传动方式</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齿轮箱传动</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密封形式插入式密封</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插入式密封</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★叶轮</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2</w:t>
            </w:r>
            <w:r>
              <w:rPr>
                <w:rFonts w:hint="eastAsia" w:ascii="宋体" w:hAnsi="宋体" w:cs="宋体"/>
                <w:color w:val="000000"/>
                <w:kern w:val="0"/>
                <w:sz w:val="22"/>
                <w:szCs w:val="22"/>
                <w:lang w:val="en-US"/>
              </w:rPr>
              <w:t>叶片型</w:t>
            </w:r>
          </w:p>
        </w:tc>
      </w:tr>
      <w:tr>
        <w:tblPrEx>
          <w:tblCellMar>
            <w:top w:w="0" w:type="dxa"/>
            <w:left w:w="108" w:type="dxa"/>
            <w:bottom w:w="0" w:type="dxa"/>
            <w:right w:w="108" w:type="dxa"/>
          </w:tblCellMar>
        </w:tblPrEx>
        <w:trPr>
          <w:trHeight w:val="60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安装方式</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导轨式，上部自带起吊装置</w:t>
            </w:r>
          </w:p>
        </w:tc>
      </w:tr>
      <w:tr>
        <w:tblPrEx>
          <w:tblCellMar>
            <w:top w:w="0" w:type="dxa"/>
            <w:left w:w="108" w:type="dxa"/>
            <w:bottom w:w="0" w:type="dxa"/>
            <w:right w:w="108" w:type="dxa"/>
          </w:tblCellMar>
        </w:tblPrEx>
        <w:trPr>
          <w:trHeight w:val="420" w:hRule="atLeast"/>
          <w:jc w:val="center"/>
        </w:trPr>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材料</w:t>
            </w: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壳体灰口</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铸铁GG25</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叶轮灰口</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铸铁GG25</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主轴</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不锈钢431</w:t>
            </w:r>
          </w:p>
        </w:tc>
      </w:tr>
      <w:tr>
        <w:tblPrEx>
          <w:tblCellMar>
            <w:top w:w="0" w:type="dxa"/>
            <w:left w:w="108" w:type="dxa"/>
            <w:bottom w:w="0" w:type="dxa"/>
            <w:right w:w="108" w:type="dxa"/>
          </w:tblCellMar>
        </w:tblPrEx>
        <w:trPr>
          <w:trHeight w:val="60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★密封</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耐腐蚀烧结碳化钨（WCCR</w:t>
            </w:r>
            <w:r>
              <w:rPr>
                <w:rFonts w:hint="eastAsia" w:ascii="宋体" w:hAnsi="宋体" w:cs="宋体"/>
                <w:color w:val="000000"/>
                <w:kern w:val="0"/>
                <w:sz w:val="22"/>
                <w:szCs w:val="22"/>
                <w:lang w:val="en-US"/>
              </w:rPr>
              <w:t>）</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导轨，提升链</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不锈钢304</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螺栓、螺母</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不锈钢304</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出水连接（耦合底座）</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hint="eastAsia" w:ascii="宋体" w:hAnsi="宋体" w:cs="宋体"/>
                <w:color w:val="000000"/>
                <w:kern w:val="0"/>
                <w:sz w:val="22"/>
                <w:szCs w:val="22"/>
                <w:lang w:val="en-US"/>
              </w:rPr>
              <w:t>灰口铸铁</w:t>
            </w:r>
            <w:r>
              <w:rPr>
                <w:rFonts w:ascii="Arial" w:hAnsi="Arial" w:eastAsia="Tahoma" w:cs="Arial"/>
                <w:color w:val="000000"/>
                <w:kern w:val="0"/>
                <w:sz w:val="22"/>
                <w:szCs w:val="22"/>
                <w:lang w:val="en-US"/>
              </w:rPr>
              <w:t>GG25</w:t>
            </w:r>
          </w:p>
        </w:tc>
      </w:tr>
      <w:tr>
        <w:tblPrEx>
          <w:tblCellMar>
            <w:top w:w="0" w:type="dxa"/>
            <w:left w:w="108" w:type="dxa"/>
            <w:bottom w:w="0" w:type="dxa"/>
            <w:right w:w="108" w:type="dxa"/>
          </w:tblCellMar>
        </w:tblPrEx>
        <w:trPr>
          <w:trHeight w:val="60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所有连接附件、地脚螺栓</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不锈钢304</w:t>
            </w:r>
          </w:p>
        </w:tc>
      </w:tr>
      <w:tr>
        <w:tblPrEx>
          <w:tblCellMar>
            <w:top w:w="0" w:type="dxa"/>
            <w:left w:w="108" w:type="dxa"/>
            <w:bottom w:w="0" w:type="dxa"/>
            <w:right w:w="108" w:type="dxa"/>
          </w:tblCellMar>
        </w:tblPrEx>
        <w:trPr>
          <w:trHeight w:val="420" w:hRule="atLeast"/>
          <w:jc w:val="center"/>
        </w:trPr>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电机</w:t>
            </w: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电源</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380V 50HZ</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启动方式</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直接启动</w:t>
            </w:r>
          </w:p>
        </w:tc>
      </w:tr>
      <w:tr>
        <w:tblPrEx>
          <w:tblCellMar>
            <w:top w:w="0" w:type="dxa"/>
            <w:left w:w="108" w:type="dxa"/>
            <w:bottom w:w="0" w:type="dxa"/>
            <w:right w:w="108" w:type="dxa"/>
          </w:tblCellMar>
        </w:tblPrEx>
        <w:trPr>
          <w:trHeight w:val="420" w:hRule="atLeast"/>
          <w:jc w:val="center"/>
        </w:trPr>
        <w:tc>
          <w:tcPr>
            <w:tcW w:w="9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Tahoma" w:cs="Arial"/>
                <w:color w:val="000000"/>
                <w:sz w:val="22"/>
                <w:szCs w:val="22"/>
              </w:rPr>
            </w:pPr>
          </w:p>
        </w:tc>
        <w:tc>
          <w:tcPr>
            <w:tcW w:w="20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★防护等级、绝缘等级I</w:t>
            </w:r>
          </w:p>
        </w:tc>
        <w:tc>
          <w:tcPr>
            <w:tcW w:w="20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P68</w:t>
            </w:r>
            <w:r>
              <w:rPr>
                <w:rFonts w:hint="eastAsia" w:ascii="宋体" w:hAnsi="宋体" w:cs="宋体"/>
                <w:color w:val="000000"/>
                <w:kern w:val="0"/>
                <w:sz w:val="22"/>
                <w:szCs w:val="22"/>
                <w:lang w:val="en-US"/>
              </w:rPr>
              <w:t>、</w:t>
            </w:r>
            <w:r>
              <w:rPr>
                <w:rFonts w:ascii="Arial" w:hAnsi="Arial" w:eastAsia="Tahoma" w:cs="Arial"/>
                <w:color w:val="000000"/>
                <w:kern w:val="0"/>
                <w:sz w:val="22"/>
                <w:szCs w:val="22"/>
                <w:lang w:val="en-US"/>
              </w:rPr>
              <w:t>H</w:t>
            </w:r>
            <w:r>
              <w:rPr>
                <w:rFonts w:hint="eastAsia" w:ascii="宋体" w:hAnsi="宋体" w:cs="宋体"/>
                <w:color w:val="000000"/>
                <w:kern w:val="0"/>
                <w:sz w:val="22"/>
                <w:szCs w:val="22"/>
                <w:lang w:val="en-US"/>
              </w:rPr>
              <w:t>级</w:t>
            </w:r>
          </w:p>
        </w:tc>
      </w:tr>
      <w:tr>
        <w:tblPrEx>
          <w:tblCellMar>
            <w:top w:w="0" w:type="dxa"/>
            <w:left w:w="108" w:type="dxa"/>
            <w:bottom w:w="0" w:type="dxa"/>
            <w:right w:w="108" w:type="dxa"/>
          </w:tblCellMar>
        </w:tblPrEx>
        <w:trPr>
          <w:trHeight w:val="1200" w:hRule="atLeast"/>
          <w:jc w:val="center"/>
        </w:trPr>
        <w:tc>
          <w:tcPr>
            <w:tcW w:w="9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供货范围</w:t>
            </w:r>
          </w:p>
        </w:tc>
        <w:tc>
          <w:tcPr>
            <w:tcW w:w="4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rPr>
              <w:t>主机■                驱动机■</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rPr>
              <w:t>插桶■                提升吊链■</w:t>
            </w:r>
          </w:p>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rPr>
              <w:t>导轨■                安装支架■</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rPr>
              <w:t>移动悬臂■            其它附件等■</w:t>
            </w:r>
          </w:p>
        </w:tc>
      </w:tr>
      <w:tr>
        <w:tblPrEx>
          <w:tblCellMar>
            <w:top w:w="0" w:type="dxa"/>
            <w:left w:w="108" w:type="dxa"/>
            <w:bottom w:w="0" w:type="dxa"/>
            <w:right w:w="108" w:type="dxa"/>
          </w:tblCellMar>
        </w:tblPrEx>
        <w:trPr>
          <w:trHeight w:val="2360" w:hRule="atLeast"/>
          <w:jc w:val="center"/>
        </w:trPr>
        <w:tc>
          <w:tcPr>
            <w:tcW w:w="9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说明</w:t>
            </w:r>
          </w:p>
        </w:tc>
        <w:tc>
          <w:tcPr>
            <w:tcW w:w="4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2"/>
                <w:szCs w:val="22"/>
                <w:lang w:val="en-US" w:eastAsia="zh-CN"/>
              </w:rPr>
            </w:pPr>
            <w:r>
              <w:rPr>
                <w:rFonts w:ascii="Arial" w:hAnsi="Arial" w:eastAsia="Tahoma" w:cs="Arial"/>
                <w:color w:val="000000"/>
                <w:kern w:val="0"/>
                <w:sz w:val="22"/>
                <w:szCs w:val="22"/>
                <w:lang w:val="en-US"/>
              </w:rPr>
              <w:t>1.</w:t>
            </w:r>
            <w:r>
              <w:rPr>
                <w:rFonts w:hint="eastAsia" w:ascii="宋体" w:hAnsi="宋体" w:cs="宋体"/>
                <w:color w:val="000000"/>
                <w:kern w:val="0"/>
                <w:sz w:val="22"/>
                <w:szCs w:val="22"/>
                <w:lang w:val="en-US"/>
              </w:rPr>
              <w:t>潜水搅拌机成套供应，需包括所有安全、有效及可靠运行所需的附件，其中潜水电缆</w:t>
            </w:r>
            <w:r>
              <w:rPr>
                <w:rFonts w:ascii="Arial" w:hAnsi="Arial" w:eastAsia="Tahoma" w:cs="Arial"/>
                <w:color w:val="000000"/>
                <w:kern w:val="0"/>
                <w:sz w:val="22"/>
                <w:szCs w:val="22"/>
                <w:lang w:val="en-US"/>
              </w:rPr>
              <w:t>10</w:t>
            </w:r>
            <w:r>
              <w:rPr>
                <w:rFonts w:hint="eastAsia" w:ascii="宋体" w:hAnsi="宋体" w:cs="宋体"/>
                <w:color w:val="000000"/>
                <w:kern w:val="0"/>
                <w:sz w:val="22"/>
                <w:szCs w:val="22"/>
                <w:lang w:val="en-US"/>
              </w:rPr>
              <w:t>米</w:t>
            </w:r>
            <w:r>
              <w:rPr>
                <w:rFonts w:ascii="Arial" w:hAnsi="Arial" w:eastAsia="Tahoma" w:cs="Arial"/>
                <w:color w:val="000000"/>
                <w:kern w:val="0"/>
                <w:sz w:val="22"/>
                <w:szCs w:val="22"/>
                <w:lang w:val="en-US"/>
              </w:rPr>
              <w:t>/</w:t>
            </w:r>
            <w:r>
              <w:rPr>
                <w:rFonts w:hint="eastAsia" w:ascii="宋体" w:hAnsi="宋体" w:cs="宋体"/>
                <w:color w:val="000000"/>
                <w:kern w:val="0"/>
                <w:sz w:val="22"/>
                <w:szCs w:val="22"/>
                <w:lang w:val="en-US"/>
              </w:rPr>
              <w:t>台。</w:t>
            </w:r>
          </w:p>
          <w:p>
            <w:pPr>
              <w:widowControl/>
              <w:jc w:val="left"/>
              <w:textAlignment w:val="center"/>
              <w:rPr>
                <w:rFonts w:hint="eastAsia" w:ascii="宋体" w:hAnsi="宋体" w:eastAsia="宋体" w:cs="宋体"/>
                <w:color w:val="000000"/>
                <w:kern w:val="0"/>
                <w:sz w:val="22"/>
                <w:szCs w:val="22"/>
                <w:lang w:val="en-US" w:eastAsia="zh-CN"/>
              </w:rPr>
            </w:pPr>
            <w:r>
              <w:rPr>
                <w:rFonts w:ascii="Arial" w:hAnsi="Arial" w:eastAsia="Tahoma" w:cs="Arial"/>
                <w:color w:val="000000"/>
                <w:kern w:val="0"/>
                <w:sz w:val="22"/>
                <w:szCs w:val="22"/>
                <w:lang w:val="en-US"/>
              </w:rPr>
              <w:t>2.</w:t>
            </w:r>
            <w:r>
              <w:rPr>
                <w:rFonts w:hint="eastAsia" w:ascii="宋体" w:hAnsi="宋体" w:cs="宋体"/>
                <w:color w:val="000000"/>
                <w:kern w:val="0"/>
                <w:sz w:val="22"/>
                <w:szCs w:val="22"/>
                <w:lang w:val="en-US"/>
              </w:rPr>
              <w:t>其它要求详见设备的一般及特殊技术要求。</w:t>
            </w:r>
          </w:p>
          <w:p>
            <w:pPr>
              <w:widowControl/>
              <w:jc w:val="left"/>
              <w:textAlignment w:val="center"/>
              <w:rPr>
                <w:rFonts w:ascii="Arial" w:hAnsi="Arial" w:eastAsia="Tahoma" w:cs="Arial"/>
                <w:color w:val="000000"/>
                <w:sz w:val="22"/>
                <w:szCs w:val="22"/>
              </w:rPr>
            </w:pPr>
            <w:r>
              <w:rPr>
                <w:rFonts w:hint="eastAsia" w:ascii="宋体" w:hAnsi="宋体" w:cs="宋体"/>
                <w:color w:val="000000"/>
                <w:kern w:val="0"/>
                <w:sz w:val="22"/>
                <w:szCs w:val="22"/>
                <w:lang w:val="en-US"/>
              </w:rPr>
              <w:t>★</w:t>
            </w:r>
            <w:r>
              <w:rPr>
                <w:rFonts w:ascii="Arial" w:hAnsi="Arial" w:eastAsia="Tahoma" w:cs="Arial"/>
                <w:color w:val="000000"/>
                <w:kern w:val="0"/>
                <w:sz w:val="22"/>
                <w:szCs w:val="22"/>
                <w:lang w:val="en-US"/>
              </w:rPr>
              <w:t>3.</w:t>
            </w:r>
            <w:r>
              <w:rPr>
                <w:rFonts w:hint="eastAsia" w:ascii="宋体" w:hAnsi="宋体" w:cs="宋体"/>
                <w:color w:val="000000"/>
                <w:kern w:val="0"/>
                <w:sz w:val="22"/>
                <w:szCs w:val="22"/>
                <w:lang w:val="en-US"/>
              </w:rPr>
              <w:t>制造商需提供详细的潜水搅拌机选型报告、流量计算书</w:t>
            </w:r>
          </w:p>
        </w:tc>
      </w:tr>
    </w:tbl>
    <w:p>
      <w:pPr>
        <w:pStyle w:val="5"/>
        <w:rPr>
          <w:rFonts w:hint="eastAsia"/>
        </w:rPr>
      </w:pPr>
    </w:p>
    <w:p>
      <w:pPr>
        <w:rPr>
          <w:rFonts w:hint="eastAsia"/>
          <w:b/>
          <w:bCs/>
          <w:lang w:val="en-US"/>
        </w:rPr>
      </w:pPr>
      <w:r>
        <w:rPr>
          <w:rFonts w:hint="eastAsia"/>
          <w:b/>
          <w:bCs/>
          <w:lang w:val="en-US"/>
        </w:rPr>
        <w:t>5.3、斜筛式格栅</w:t>
      </w:r>
    </w:p>
    <w:tbl>
      <w:tblPr>
        <w:tblStyle w:val="18"/>
        <w:tblW w:w="5000" w:type="pct"/>
        <w:jc w:val="center"/>
        <w:tblLayout w:type="autofit"/>
        <w:tblCellMar>
          <w:top w:w="0" w:type="dxa"/>
          <w:left w:w="108" w:type="dxa"/>
          <w:bottom w:w="0" w:type="dxa"/>
          <w:right w:w="108" w:type="dxa"/>
        </w:tblCellMar>
      </w:tblPr>
      <w:tblGrid>
        <w:gridCol w:w="5399"/>
        <w:gridCol w:w="4177"/>
      </w:tblGrid>
      <w:tr>
        <w:tblPrEx>
          <w:tblCellMar>
            <w:top w:w="0" w:type="dxa"/>
            <w:left w:w="108" w:type="dxa"/>
            <w:bottom w:w="0" w:type="dxa"/>
            <w:right w:w="108" w:type="dxa"/>
          </w:tblCellMar>
        </w:tblPrEx>
        <w:trPr>
          <w:trHeight w:val="60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b/>
                <w:bCs/>
                <w:color w:val="000000"/>
                <w:sz w:val="22"/>
                <w:szCs w:val="22"/>
              </w:rPr>
            </w:pPr>
            <w:r>
              <w:rPr>
                <w:rFonts w:eastAsia="Tahoma"/>
                <w:b/>
                <w:bCs/>
                <w:color w:val="000000"/>
                <w:kern w:val="0"/>
                <w:sz w:val="22"/>
                <w:szCs w:val="22"/>
                <w:lang w:val="en-US"/>
              </w:rPr>
              <w:t>粗格栅电器设备技术规格数据表</w:t>
            </w:r>
          </w:p>
        </w:tc>
      </w:tr>
      <w:tr>
        <w:tblPrEx>
          <w:tblCellMar>
            <w:top w:w="0" w:type="dxa"/>
            <w:left w:w="108" w:type="dxa"/>
            <w:bottom w:w="0" w:type="dxa"/>
            <w:right w:w="108" w:type="dxa"/>
          </w:tblCellMar>
        </w:tblPrEx>
        <w:trPr>
          <w:trHeight w:val="6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设备名称：斜筛微滤机</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设备编号：/</w:t>
            </w:r>
          </w:p>
        </w:tc>
      </w:tr>
      <w:tr>
        <w:tblPrEx>
          <w:tblCellMar>
            <w:top w:w="0" w:type="dxa"/>
            <w:left w:w="108" w:type="dxa"/>
            <w:bottom w:w="0" w:type="dxa"/>
            <w:right w:w="108" w:type="dxa"/>
          </w:tblCellMar>
        </w:tblPrEx>
        <w:trPr>
          <w:trHeight w:val="6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数量（台）：1</w:t>
            </w:r>
            <w:r>
              <w:rPr>
                <w:rFonts w:hint="eastAsia" w:ascii="宋体" w:hAnsi="宋体" w:cs="宋体"/>
                <w:color w:val="000000"/>
                <w:kern w:val="0"/>
                <w:sz w:val="22"/>
                <w:szCs w:val="22"/>
                <w:lang w:val="en-US"/>
              </w:rPr>
              <w:t>台</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设备型号：</w:t>
            </w:r>
            <w:r>
              <w:rPr>
                <w:color w:val="000000"/>
                <w:kern w:val="0"/>
                <w:sz w:val="22"/>
                <w:szCs w:val="22"/>
                <w:lang w:val="en-US"/>
              </w:rPr>
              <w:t>40T/h</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 xml:space="preserve">项 </w:t>
            </w:r>
            <w:r>
              <w:rPr>
                <w:rFonts w:hint="eastAsia" w:ascii="宋体" w:hAnsi="宋体" w:cs="宋体"/>
                <w:color w:val="000000"/>
                <w:kern w:val="0"/>
                <w:sz w:val="22"/>
                <w:szCs w:val="22"/>
                <w:lang w:val="en-US"/>
              </w:rPr>
              <w:t>目</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技术参数</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额定电压</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380V</w:t>
            </w:r>
            <w:r>
              <w:rPr>
                <w:rFonts w:hint="eastAsia" w:ascii="宋体" w:hAnsi="宋体" w:cs="宋体"/>
                <w:color w:val="000000"/>
                <w:kern w:val="0"/>
                <w:sz w:val="22"/>
                <w:szCs w:val="22"/>
                <w:lang w:val="en-US"/>
              </w:rPr>
              <w:t>、</w:t>
            </w:r>
            <w:r>
              <w:rPr>
                <w:rFonts w:eastAsia="Tahoma"/>
                <w:color w:val="000000"/>
                <w:kern w:val="0"/>
                <w:sz w:val="22"/>
                <w:szCs w:val="22"/>
                <w:lang w:val="en-US"/>
              </w:rPr>
              <w:t>50HZ</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额定功率</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hint="eastAsia" w:eastAsia="宋体"/>
                <w:color w:val="000000"/>
                <w:kern w:val="0"/>
                <w:sz w:val="22"/>
                <w:szCs w:val="22"/>
                <w:lang w:val="en-US" w:eastAsia="zh-CN"/>
              </w:rPr>
              <w:t>1.1</w:t>
            </w:r>
            <w:r>
              <w:rPr>
                <w:rFonts w:eastAsia="Tahoma"/>
                <w:color w:val="000000"/>
                <w:kern w:val="0"/>
                <w:sz w:val="22"/>
                <w:szCs w:val="22"/>
                <w:lang w:val="en-US"/>
              </w:rPr>
              <w:t>kw</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防护等级</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IP55</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安装方式</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支架安装</w:t>
            </w:r>
          </w:p>
        </w:tc>
      </w:tr>
      <w:tr>
        <w:tblPrEx>
          <w:tblCellMar>
            <w:top w:w="0" w:type="dxa"/>
            <w:left w:w="108" w:type="dxa"/>
            <w:bottom w:w="0" w:type="dxa"/>
            <w:right w:w="108" w:type="dxa"/>
          </w:tblCellMar>
        </w:tblPrEx>
        <w:trPr>
          <w:trHeight w:val="58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箱体材质</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机架碳钢防腐制作、外壳滤网304；滤网精度2mm</w:t>
            </w:r>
          </w:p>
        </w:tc>
      </w:tr>
      <w:tr>
        <w:tblPrEx>
          <w:tblCellMar>
            <w:top w:w="0" w:type="dxa"/>
            <w:left w:w="108" w:type="dxa"/>
            <w:bottom w:w="0" w:type="dxa"/>
            <w:right w:w="108" w:type="dxa"/>
          </w:tblCellMar>
        </w:tblPrEx>
        <w:trPr>
          <w:trHeight w:val="500" w:hRule="atLeast"/>
          <w:jc w:val="center"/>
        </w:trPr>
        <w:tc>
          <w:tcPr>
            <w:tcW w:w="28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Tahoma"/>
                <w:color w:val="000000"/>
                <w:sz w:val="22"/>
                <w:szCs w:val="22"/>
              </w:rPr>
            </w:pPr>
            <w:r>
              <w:rPr>
                <w:rFonts w:eastAsia="Tahoma"/>
                <w:color w:val="000000"/>
                <w:kern w:val="0"/>
                <w:sz w:val="22"/>
                <w:szCs w:val="22"/>
                <w:lang w:val="en-US"/>
              </w:rPr>
              <w:t>箱面处理</w:t>
            </w:r>
          </w:p>
        </w:tc>
        <w:tc>
          <w:tcPr>
            <w:tcW w:w="2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防腐</w:t>
            </w:r>
          </w:p>
        </w:tc>
      </w:tr>
    </w:tbl>
    <w:p>
      <w:pPr>
        <w:pStyle w:val="5"/>
        <w:rPr>
          <w:rFonts w:hint="eastAsia"/>
        </w:rPr>
      </w:pPr>
    </w:p>
    <w:p>
      <w:pPr>
        <w:spacing w:line="360" w:lineRule="auto"/>
        <w:rPr>
          <w:rFonts w:hint="eastAsia"/>
          <w:b/>
          <w:bCs/>
          <w:lang w:val="en-US"/>
        </w:rPr>
      </w:pPr>
      <w:r>
        <w:rPr>
          <w:rFonts w:hint="eastAsia"/>
          <w:b/>
          <w:bCs/>
          <w:lang w:val="en-US"/>
        </w:rPr>
        <w:t>5.4、溶气气浮机</w:t>
      </w:r>
    </w:p>
    <w:tbl>
      <w:tblPr>
        <w:tblStyle w:val="18"/>
        <w:tblW w:w="4994" w:type="pct"/>
        <w:jc w:val="center"/>
        <w:tblLayout w:type="autofit"/>
        <w:tblCellMar>
          <w:top w:w="0" w:type="dxa"/>
          <w:left w:w="108" w:type="dxa"/>
          <w:bottom w:w="0" w:type="dxa"/>
          <w:right w:w="108" w:type="dxa"/>
        </w:tblCellMar>
      </w:tblPr>
      <w:tblGrid>
        <w:gridCol w:w="3019"/>
        <w:gridCol w:w="2799"/>
        <w:gridCol w:w="3747"/>
      </w:tblGrid>
      <w:tr>
        <w:tblPrEx>
          <w:tblCellMar>
            <w:top w:w="0" w:type="dxa"/>
            <w:left w:w="108" w:type="dxa"/>
            <w:bottom w:w="0" w:type="dxa"/>
            <w:right w:w="108" w:type="dxa"/>
          </w:tblCellMar>
        </w:tblPrEx>
        <w:trPr>
          <w:trHeight w:val="30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lang w:val="en-US"/>
              </w:rPr>
              <w:t>名  称</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lang w:val="en-US"/>
              </w:rPr>
              <w:t>设计参考值</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lang w:val="en-US"/>
              </w:rPr>
              <w:t>备 注</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型号</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GF-25T</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溶气气浮机</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数量</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1套</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结构形式</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平流式组合气浮</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部分回流加压射流溶气</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规格</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具体尺寸另附图</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30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额定处理能力</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25m</w:t>
            </w:r>
            <w:r>
              <w:rPr>
                <w:rFonts w:hint="eastAsia" w:ascii="宋体" w:hAnsi="宋体" w:cs="宋体"/>
                <w:color w:val="000000"/>
                <w:kern w:val="0"/>
                <w:sz w:val="21"/>
                <w:szCs w:val="21"/>
                <w:vertAlign w:val="superscript"/>
                <w:lang w:val="en-US"/>
              </w:rPr>
              <w:t>3</w:t>
            </w:r>
            <w:r>
              <w:rPr>
                <w:rFonts w:hint="eastAsia" w:ascii="宋体" w:hAnsi="宋体" w:cs="宋体"/>
                <w:color w:val="000000"/>
                <w:kern w:val="0"/>
                <w:sz w:val="21"/>
                <w:szCs w:val="21"/>
                <w:lang w:val="en-US"/>
              </w:rPr>
              <w:t>/h</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溶气水回流比</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30%</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溶气水泵功率（KW）</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5.5kw</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1台</w:t>
            </w: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空压机功率（KW）</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2.2kw</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1台</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撇渣机（KW）</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 xml:space="preserve">0.75kw×1台   </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1台</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搅拌机（kw）</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 xml:space="preserve">0.75x2   </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2台</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部件名称</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结构材料</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备注</w:t>
            </w:r>
          </w:p>
        </w:tc>
      </w:tr>
      <w:tr>
        <w:tblPrEx>
          <w:tblCellMar>
            <w:top w:w="0" w:type="dxa"/>
            <w:left w:w="108" w:type="dxa"/>
            <w:bottom w:w="0" w:type="dxa"/>
            <w:right w:w="108" w:type="dxa"/>
          </w:tblCellMar>
        </w:tblPrEx>
        <w:trPr>
          <w:trHeight w:val="135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气浮池体</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碳钢材质环氧沥青防腐</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含二级搅拌反应区、接触池、浮选池、清水集水回用池、污泥储池；采用碳钢材质，喷涂除锈后，池体内部耐酸碱涂层防腐，外部底漆1道面漆2道。</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刮泥（渣）机</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刮板304</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链条</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SS304</w:t>
            </w:r>
            <w:r>
              <w:rPr>
                <w:rFonts w:hint="eastAsia" w:ascii="宋体" w:hAnsi="宋体" w:cs="宋体"/>
                <w:color w:val="000000"/>
                <w:kern w:val="0"/>
                <w:sz w:val="21"/>
                <w:szCs w:val="21"/>
                <w:lang w:val="en-US"/>
              </w:rPr>
              <w:t>不锈钢</w:t>
            </w:r>
            <w:r>
              <w:rPr>
                <w:rStyle w:val="34"/>
                <w:rFonts w:hint="default" w:eastAsia="Tahoma"/>
                <w:lang w:val="en-US"/>
              </w:rPr>
              <w:t>+</w:t>
            </w:r>
            <w:r>
              <w:rPr>
                <w:rFonts w:hint="eastAsia" w:ascii="宋体" w:hAnsi="宋体" w:cs="宋体"/>
                <w:color w:val="000000"/>
                <w:kern w:val="0"/>
                <w:sz w:val="21"/>
                <w:szCs w:val="21"/>
                <w:lang w:val="en-US"/>
              </w:rPr>
              <w:t>尼龙滚珠</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2条</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链轮</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碳钢</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4只</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刮板</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SS304</w:t>
            </w:r>
            <w:r>
              <w:rPr>
                <w:rFonts w:hint="eastAsia" w:ascii="宋体" w:hAnsi="宋体" w:cs="宋体"/>
                <w:color w:val="000000"/>
                <w:kern w:val="0"/>
                <w:sz w:val="21"/>
                <w:szCs w:val="21"/>
                <w:lang w:val="en-US"/>
              </w:rPr>
              <w:t>不锈钢</w:t>
            </w:r>
            <w:r>
              <w:rPr>
                <w:rStyle w:val="34"/>
                <w:rFonts w:hint="default" w:eastAsia="Tahoma"/>
                <w:lang w:val="en-US"/>
              </w:rPr>
              <w:t>+</w:t>
            </w:r>
            <w:r>
              <w:rPr>
                <w:rFonts w:hint="eastAsia" w:ascii="宋体" w:hAnsi="宋体" w:cs="宋体"/>
                <w:color w:val="000000"/>
                <w:kern w:val="0"/>
                <w:sz w:val="21"/>
                <w:szCs w:val="21"/>
                <w:lang w:val="en-US"/>
              </w:rPr>
              <w:t>牛筋板</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2</w:t>
            </w:r>
            <w:r>
              <w:rPr>
                <w:rFonts w:hint="eastAsia" w:ascii="宋体" w:hAnsi="宋体" w:cs="宋体"/>
                <w:color w:val="000000"/>
                <w:kern w:val="0"/>
                <w:sz w:val="21"/>
                <w:szCs w:val="21"/>
                <w:lang w:val="en-US"/>
              </w:rPr>
              <w:t>块</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传动轴</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电镀</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2根</w:t>
            </w:r>
          </w:p>
        </w:tc>
      </w:tr>
      <w:tr>
        <w:tblPrEx>
          <w:tblCellMar>
            <w:top w:w="0" w:type="dxa"/>
            <w:left w:w="108" w:type="dxa"/>
            <w:bottom w:w="0" w:type="dxa"/>
            <w:right w:w="108" w:type="dxa"/>
          </w:tblCellMar>
        </w:tblPrEx>
        <w:trPr>
          <w:trHeight w:val="280" w:hRule="atLeast"/>
          <w:jc w:val="center"/>
        </w:trPr>
        <w:tc>
          <w:tcPr>
            <w:tcW w:w="157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液位控制系统</w:t>
            </w:r>
          </w:p>
        </w:tc>
        <w:tc>
          <w:tcPr>
            <w:tcW w:w="146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堰板调节式</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调节堰、丝杆采用</w:t>
            </w:r>
            <w:r>
              <w:rPr>
                <w:rStyle w:val="34"/>
                <w:rFonts w:hint="default"/>
                <w:lang w:val="en-US"/>
              </w:rPr>
              <w:t>304</w:t>
            </w:r>
            <w:r>
              <w:rPr>
                <w:rFonts w:hint="eastAsia" w:ascii="宋体" w:hAnsi="宋体" w:cs="宋体"/>
                <w:color w:val="000000"/>
                <w:kern w:val="0"/>
                <w:sz w:val="21"/>
                <w:szCs w:val="21"/>
                <w:lang w:val="en-US"/>
              </w:rPr>
              <w:t>不锈钢</w:t>
            </w:r>
          </w:p>
        </w:tc>
      </w:tr>
      <w:tr>
        <w:tblPrEx>
          <w:tblCellMar>
            <w:top w:w="0" w:type="dxa"/>
            <w:left w:w="108" w:type="dxa"/>
            <w:bottom w:w="0" w:type="dxa"/>
            <w:right w:w="108" w:type="dxa"/>
          </w:tblCellMar>
        </w:tblPrEx>
        <w:trPr>
          <w:trHeight w:val="280" w:hRule="atLeast"/>
          <w:jc w:val="center"/>
        </w:trPr>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手轮喷塑处理</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溶气释放器</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内芯件304不锈钢</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释放管路</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304</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释放管路采用池上接入方式。</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溶气系统</w:t>
            </w:r>
          </w:p>
        </w:tc>
        <w:tc>
          <w:tcPr>
            <w:tcW w:w="342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溶气罐及内部组件</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溶气罐碳钢防腐材质、内部射流组件304不锈钢</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卧式无堵塞专利溶气技术，不含压力容器证</w:t>
            </w: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液位平衡控制器</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浮球液位控制器</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主体304不锈钢材质</w:t>
            </w: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压力表、安全阀</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组合件</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安全耐震型</w:t>
            </w:r>
          </w:p>
        </w:tc>
      </w:tr>
      <w:tr>
        <w:tblPrEx>
          <w:tblCellMar>
            <w:top w:w="0" w:type="dxa"/>
            <w:left w:w="108" w:type="dxa"/>
            <w:bottom w:w="0" w:type="dxa"/>
            <w:right w:w="108" w:type="dxa"/>
          </w:tblCellMar>
        </w:tblPrEx>
        <w:trPr>
          <w:trHeight w:val="81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回流水泵至溶气罐管道、阀门</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管道、阀门碳钢防腐</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走道扶梯</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碳钢防腐</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57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回流水泵</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流量大于8m3/h，扬程</w:t>
            </w:r>
            <w:r>
              <w:rPr>
                <w:rFonts w:hint="default" w:ascii="宋体" w:hAnsi="宋体" w:cs="宋体"/>
                <w:color w:val="000000"/>
                <w:kern w:val="0"/>
                <w:sz w:val="21"/>
                <w:szCs w:val="21"/>
                <w:lang w:val="en-US"/>
              </w:rPr>
              <w:t>≥</w:t>
            </w:r>
            <w:r>
              <w:rPr>
                <w:rFonts w:hint="eastAsia" w:ascii="宋体" w:hAnsi="宋体" w:cs="宋体"/>
                <w:color w:val="000000"/>
                <w:kern w:val="0"/>
                <w:sz w:val="21"/>
                <w:szCs w:val="21"/>
                <w:lang w:val="en-US"/>
              </w:rPr>
              <w:t>42m，5.5kw</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57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空压机</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000000"/>
                <w:kern w:val="0"/>
                <w:sz w:val="21"/>
                <w:szCs w:val="21"/>
                <w:lang w:val="en-US"/>
              </w:rPr>
            </w:pPr>
            <w:r>
              <w:rPr>
                <w:rFonts w:hint="eastAsia" w:ascii="宋体" w:hAnsi="宋体" w:cs="宋体"/>
                <w:color w:val="000000"/>
                <w:kern w:val="0"/>
                <w:sz w:val="21"/>
                <w:szCs w:val="21"/>
                <w:lang w:val="en-US"/>
              </w:rPr>
              <w:t>排气量：0.25m</w:t>
            </w:r>
            <w:r>
              <w:rPr>
                <w:rFonts w:hint="eastAsia" w:ascii="宋体" w:hAnsi="宋体" w:cs="宋体"/>
                <w:color w:val="000000"/>
                <w:kern w:val="0"/>
                <w:sz w:val="21"/>
                <w:szCs w:val="21"/>
                <w:vertAlign w:val="superscript"/>
                <w:lang w:val="en-US"/>
              </w:rPr>
              <w:t>3</w:t>
            </w:r>
            <w:r>
              <w:rPr>
                <w:rFonts w:hint="eastAsia" w:ascii="宋体" w:hAnsi="宋体" w:cs="宋体"/>
                <w:color w:val="000000"/>
                <w:kern w:val="0"/>
                <w:sz w:val="21"/>
                <w:szCs w:val="21"/>
                <w:lang w:val="en-US"/>
              </w:rPr>
              <w:t>/min，排气压力0.8MPa</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反应区</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形式</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折流+机械搅拌</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搅拌机功率</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0.75KW</w:t>
            </w:r>
            <w:r>
              <w:rPr>
                <w:rStyle w:val="34"/>
                <w:rFonts w:hint="default"/>
                <w:lang w:val="en-US"/>
              </w:rPr>
              <w:t>×</w:t>
            </w:r>
            <w:r>
              <w:rPr>
                <w:rFonts w:hint="eastAsia" w:ascii="宋体" w:hAnsi="宋体" w:cs="宋体"/>
                <w:color w:val="000000"/>
                <w:kern w:val="0"/>
                <w:sz w:val="21"/>
                <w:szCs w:val="21"/>
                <w:lang w:val="en-US"/>
              </w:rPr>
              <w:t>1台   0.4KW</w:t>
            </w:r>
            <w:r>
              <w:rPr>
                <w:rStyle w:val="34"/>
                <w:rFonts w:hint="default"/>
                <w:lang w:val="en-US"/>
              </w:rPr>
              <w:t>×</w:t>
            </w:r>
            <w:r>
              <w:rPr>
                <w:rFonts w:hint="eastAsia" w:ascii="宋体" w:hAnsi="宋体" w:cs="宋体"/>
                <w:color w:val="000000"/>
                <w:kern w:val="0"/>
                <w:sz w:val="21"/>
                <w:szCs w:val="21"/>
                <w:lang w:val="en-US"/>
              </w:rPr>
              <w:t>1台</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PAC</w:t>
            </w:r>
            <w:r>
              <w:rPr>
                <w:rFonts w:hint="eastAsia" w:ascii="宋体" w:hAnsi="宋体" w:cs="宋体"/>
                <w:color w:val="000000"/>
                <w:kern w:val="0"/>
                <w:sz w:val="21"/>
                <w:szCs w:val="21"/>
                <w:lang w:val="en-US"/>
              </w:rPr>
              <w:t>混凝搅拌转速</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w:t>
            </w:r>
            <w:r>
              <w:rPr>
                <w:rFonts w:hint="eastAsia" w:ascii="宋体" w:hAnsi="宋体" w:cs="宋体"/>
                <w:color w:val="000000"/>
                <w:kern w:val="0"/>
                <w:sz w:val="21"/>
                <w:szCs w:val="21"/>
                <w:lang w:val="en-US"/>
              </w:rPr>
              <w:t>60r/min</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轴和桨叶SS304不锈钢材质</w:t>
            </w:r>
          </w:p>
        </w:tc>
      </w:tr>
      <w:tr>
        <w:tblPrEx>
          <w:tblCellMar>
            <w:top w:w="0" w:type="dxa"/>
            <w:left w:w="108" w:type="dxa"/>
            <w:bottom w:w="0" w:type="dxa"/>
            <w:right w:w="108" w:type="dxa"/>
          </w:tblCellMar>
        </w:tblPrEx>
        <w:trPr>
          <w:trHeight w:val="54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PAM</w:t>
            </w:r>
            <w:r>
              <w:rPr>
                <w:rFonts w:hint="eastAsia" w:ascii="宋体" w:hAnsi="宋体" w:cs="宋体"/>
                <w:color w:val="000000"/>
                <w:kern w:val="0"/>
                <w:sz w:val="21"/>
                <w:szCs w:val="21"/>
                <w:lang w:val="en-US"/>
              </w:rPr>
              <w:t>絮凝搅拌转速</w:t>
            </w:r>
          </w:p>
        </w:tc>
        <w:tc>
          <w:tcPr>
            <w:tcW w:w="14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eastAsia="Tahoma"/>
                <w:color w:val="000000"/>
                <w:sz w:val="21"/>
                <w:szCs w:val="21"/>
              </w:rPr>
            </w:pPr>
            <w:r>
              <w:rPr>
                <w:rStyle w:val="34"/>
                <w:rFonts w:hint="default" w:eastAsia="Tahoma"/>
                <w:lang w:val="en-US"/>
              </w:rPr>
              <w:t>≈</w:t>
            </w:r>
            <w:r>
              <w:rPr>
                <w:rFonts w:hint="eastAsia" w:ascii="宋体" w:hAnsi="宋体" w:cs="宋体"/>
                <w:color w:val="000000"/>
                <w:kern w:val="0"/>
                <w:sz w:val="21"/>
                <w:szCs w:val="21"/>
                <w:lang w:val="en-US"/>
              </w:rPr>
              <w:t>30 r/min</w:t>
            </w:r>
          </w:p>
        </w:tc>
        <w:tc>
          <w:tcPr>
            <w:tcW w:w="19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轴和桨叶SS304不锈钢材质</w:t>
            </w:r>
          </w:p>
        </w:tc>
      </w:tr>
      <w:tr>
        <w:tblPrEx>
          <w:tblCellMar>
            <w:top w:w="0" w:type="dxa"/>
            <w:left w:w="108" w:type="dxa"/>
            <w:bottom w:w="0" w:type="dxa"/>
            <w:right w:w="108" w:type="dxa"/>
          </w:tblCellMar>
        </w:tblPrEx>
        <w:trPr>
          <w:trHeight w:val="280" w:hRule="atLeast"/>
          <w:jc w:val="center"/>
        </w:trPr>
        <w:tc>
          <w:tcPr>
            <w:tcW w:w="15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电控要求</w:t>
            </w:r>
          </w:p>
        </w:tc>
        <w:tc>
          <w:tcPr>
            <w:tcW w:w="342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整机电气控制系统。控制柜采用碳钢喷塑材质，室外防雨控制柜，含手动/自动控制系统。</w:t>
            </w:r>
          </w:p>
        </w:tc>
      </w:tr>
    </w:tbl>
    <w:p>
      <w:pPr>
        <w:pStyle w:val="5"/>
        <w:rPr>
          <w:rFonts w:hint="eastAsia"/>
        </w:rPr>
      </w:pPr>
    </w:p>
    <w:p>
      <w:pPr>
        <w:spacing w:line="360" w:lineRule="auto"/>
        <w:rPr>
          <w:rFonts w:hint="eastAsia"/>
          <w:b/>
          <w:bCs/>
          <w:lang w:val="en-US"/>
        </w:rPr>
      </w:pPr>
      <w:r>
        <w:rPr>
          <w:rFonts w:hint="eastAsia"/>
          <w:b/>
          <w:bCs/>
          <w:lang w:val="en-US"/>
        </w:rPr>
        <w:t>5.5、罗茨鼓风机</w:t>
      </w:r>
    </w:p>
    <w:tbl>
      <w:tblPr>
        <w:tblStyle w:val="18"/>
        <w:tblW w:w="4998" w:type="pct"/>
        <w:jc w:val="center"/>
        <w:tblLayout w:type="autofit"/>
        <w:tblCellMar>
          <w:top w:w="0" w:type="dxa"/>
          <w:left w:w="108" w:type="dxa"/>
          <w:bottom w:w="0" w:type="dxa"/>
          <w:right w:w="108" w:type="dxa"/>
        </w:tblCellMar>
      </w:tblPr>
      <w:tblGrid>
        <w:gridCol w:w="997"/>
        <w:gridCol w:w="2746"/>
        <w:gridCol w:w="3068"/>
        <w:gridCol w:w="2761"/>
      </w:tblGrid>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序号</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项目</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内容</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风机型号</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MFSR-125型</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数量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2台</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3</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输送介质</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空气</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4</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出口口径</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DN125</w:t>
            </w:r>
          </w:p>
        </w:tc>
      </w:tr>
      <w:tr>
        <w:tblPrEx>
          <w:tblCellMar>
            <w:top w:w="0" w:type="dxa"/>
            <w:left w:w="108" w:type="dxa"/>
            <w:bottom w:w="0" w:type="dxa"/>
            <w:right w:w="108" w:type="dxa"/>
          </w:tblCellMar>
        </w:tblPrEx>
        <w:trPr>
          <w:trHeight w:val="355"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5</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风量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8.25m</w:t>
            </w:r>
            <w:r>
              <w:rPr>
                <w:rFonts w:hint="eastAsia" w:ascii="宋体" w:hAnsi="宋体" w:cs="宋体"/>
                <w:color w:val="000000"/>
                <w:kern w:val="0"/>
                <w:sz w:val="21"/>
                <w:szCs w:val="21"/>
                <w:vertAlign w:val="superscript"/>
                <w:lang w:val="en-US"/>
              </w:rPr>
              <w:t>3</w:t>
            </w:r>
            <w:r>
              <w:rPr>
                <w:rFonts w:hint="eastAsia" w:ascii="宋体" w:hAnsi="宋体" w:cs="宋体"/>
                <w:color w:val="000000"/>
                <w:kern w:val="0"/>
                <w:sz w:val="21"/>
                <w:szCs w:val="21"/>
                <w:lang w:val="en-US"/>
              </w:rPr>
              <w:t>/min</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6</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升压</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53.9KPa</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7</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转速</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1390rpm</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8</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传动方式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带联传动</w:t>
            </w:r>
          </w:p>
        </w:tc>
      </w:tr>
      <w:tr>
        <w:tblPrEx>
          <w:tblCellMar>
            <w:top w:w="0" w:type="dxa"/>
            <w:left w:w="108" w:type="dxa"/>
            <w:bottom w:w="0" w:type="dxa"/>
            <w:right w:w="108" w:type="dxa"/>
          </w:tblCellMar>
        </w:tblPrEx>
        <w:trPr>
          <w:trHeight w:val="615"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9</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润滑方式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驱端：脂润滑   齿端：飞溅油润滑</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10</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冷却方式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空冷</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11</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密封方式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迷宫密封</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12</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进气温度</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≤40℃</w:t>
            </w:r>
          </w:p>
        </w:tc>
      </w:tr>
      <w:tr>
        <w:tblPrEx>
          <w:tblCellMar>
            <w:top w:w="0" w:type="dxa"/>
            <w:left w:w="108" w:type="dxa"/>
            <w:bottom w:w="0" w:type="dxa"/>
            <w:right w:w="108" w:type="dxa"/>
          </w:tblCellMar>
        </w:tblPrEx>
        <w:trPr>
          <w:trHeight w:val="615"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13</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结构型式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容积式三叶罗茨鼓风机</w:t>
            </w:r>
          </w:p>
        </w:tc>
      </w:tr>
      <w:tr>
        <w:tblPrEx>
          <w:tblCellMar>
            <w:top w:w="0" w:type="dxa"/>
            <w:left w:w="108" w:type="dxa"/>
            <w:bottom w:w="0" w:type="dxa"/>
            <w:right w:w="108" w:type="dxa"/>
          </w:tblCellMar>
        </w:tblPrEx>
        <w:trPr>
          <w:trHeight w:val="33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14</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安装方式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卧式</w:t>
            </w:r>
          </w:p>
        </w:tc>
      </w:tr>
      <w:tr>
        <w:tblPrEx>
          <w:tblCellMar>
            <w:top w:w="0" w:type="dxa"/>
            <w:left w:w="108" w:type="dxa"/>
            <w:bottom w:w="0" w:type="dxa"/>
            <w:right w:w="108" w:type="dxa"/>
          </w:tblCellMar>
        </w:tblPrEx>
        <w:trPr>
          <w:trHeight w:val="540" w:hRule="atLeast"/>
          <w:jc w:val="center"/>
        </w:trPr>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15</w:t>
            </w:r>
          </w:p>
        </w:tc>
        <w:tc>
          <w:tcPr>
            <w:tcW w:w="14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材质</w:t>
            </w: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机壳、叶轮、墙板</w:t>
            </w:r>
          </w:p>
        </w:tc>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HT250</w:t>
            </w:r>
          </w:p>
        </w:tc>
      </w:tr>
      <w:tr>
        <w:tblPrEx>
          <w:tblCellMar>
            <w:top w:w="0" w:type="dxa"/>
            <w:left w:w="108" w:type="dxa"/>
            <w:bottom w:w="0" w:type="dxa"/>
            <w:right w:w="108" w:type="dxa"/>
          </w:tblCellMar>
        </w:tblPrEx>
        <w:trPr>
          <w:trHeight w:val="28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主副油箱</w:t>
            </w:r>
          </w:p>
        </w:tc>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28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轴</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45#</w:t>
            </w:r>
          </w:p>
        </w:tc>
      </w:tr>
      <w:tr>
        <w:tblPrEx>
          <w:tblCellMar>
            <w:top w:w="0" w:type="dxa"/>
            <w:left w:w="108" w:type="dxa"/>
            <w:bottom w:w="0" w:type="dxa"/>
            <w:right w:w="108" w:type="dxa"/>
          </w:tblCellMar>
        </w:tblPrEx>
        <w:trPr>
          <w:trHeight w:val="28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轴承</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GCr15</w:t>
            </w:r>
          </w:p>
        </w:tc>
      </w:tr>
      <w:tr>
        <w:tblPrEx>
          <w:tblCellMar>
            <w:top w:w="0" w:type="dxa"/>
            <w:left w:w="108" w:type="dxa"/>
            <w:bottom w:w="0" w:type="dxa"/>
            <w:right w:w="108" w:type="dxa"/>
          </w:tblCellMar>
        </w:tblPrEx>
        <w:trPr>
          <w:trHeight w:val="28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齿轮</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20CrMnTi</w:t>
            </w:r>
          </w:p>
        </w:tc>
      </w:tr>
      <w:tr>
        <w:tblPrEx>
          <w:tblCellMar>
            <w:top w:w="0" w:type="dxa"/>
            <w:left w:w="108" w:type="dxa"/>
            <w:bottom w:w="0" w:type="dxa"/>
            <w:right w:w="108" w:type="dxa"/>
          </w:tblCellMar>
        </w:tblPrEx>
        <w:trPr>
          <w:trHeight w:val="330" w:hRule="atLeast"/>
          <w:jc w:val="center"/>
        </w:trPr>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16</w:t>
            </w:r>
          </w:p>
        </w:tc>
        <w:tc>
          <w:tcPr>
            <w:tcW w:w="44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配套电机</w:t>
            </w:r>
          </w:p>
        </w:tc>
      </w:tr>
      <w:tr>
        <w:tblPrEx>
          <w:tblCellMar>
            <w:top w:w="0" w:type="dxa"/>
            <w:left w:w="108" w:type="dxa"/>
            <w:bottom w:w="0" w:type="dxa"/>
            <w:right w:w="108" w:type="dxa"/>
          </w:tblCellMar>
        </w:tblPrEx>
        <w:trPr>
          <w:trHeight w:val="32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电动机型号</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Y160L-4</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功率</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val="en-US"/>
              </w:rPr>
              <w:t>KW</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电源</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380V/50Hz/三相</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防护等级</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IP55</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温升等级</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B</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绝缘等级</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F</w:t>
            </w:r>
          </w:p>
        </w:tc>
      </w:tr>
      <w:tr>
        <w:tblPrEx>
          <w:tblCellMar>
            <w:top w:w="0" w:type="dxa"/>
            <w:left w:w="108" w:type="dxa"/>
            <w:bottom w:w="0" w:type="dxa"/>
            <w:right w:w="108" w:type="dxa"/>
          </w:tblCellMar>
        </w:tblPrEx>
        <w:trPr>
          <w:trHeight w:val="330" w:hRule="atLeast"/>
          <w:jc w:val="center"/>
        </w:trPr>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1"/>
                <w:szCs w:val="21"/>
              </w:rPr>
            </w:pP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电机重量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156Kg</w:t>
            </w:r>
          </w:p>
        </w:tc>
      </w:tr>
      <w:tr>
        <w:tblPrEx>
          <w:tblCellMar>
            <w:top w:w="0" w:type="dxa"/>
            <w:left w:w="108" w:type="dxa"/>
            <w:bottom w:w="0" w:type="dxa"/>
            <w:right w:w="108" w:type="dxa"/>
          </w:tblCellMar>
        </w:tblPrEx>
        <w:trPr>
          <w:trHeight w:val="380" w:hRule="atLeast"/>
          <w:jc w:val="center"/>
        </w:trPr>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17</w:t>
            </w:r>
          </w:p>
        </w:tc>
        <w:tc>
          <w:tcPr>
            <w:tcW w:w="1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设备整机重量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val="en-US"/>
              </w:rPr>
              <w:t>580Kg</w:t>
            </w:r>
          </w:p>
        </w:tc>
      </w:tr>
    </w:tbl>
    <w:p>
      <w:pPr>
        <w:pStyle w:val="5"/>
        <w:rPr>
          <w:rFonts w:hint="eastAsia"/>
        </w:rPr>
      </w:pPr>
    </w:p>
    <w:p>
      <w:pPr>
        <w:spacing w:line="360" w:lineRule="auto"/>
        <w:rPr>
          <w:rFonts w:hint="eastAsia"/>
          <w:b/>
          <w:bCs/>
          <w:lang w:val="en-US"/>
        </w:rPr>
      </w:pPr>
      <w:r>
        <w:rPr>
          <w:rFonts w:hint="eastAsia"/>
          <w:b/>
          <w:bCs/>
          <w:lang w:val="en-US"/>
        </w:rPr>
        <w:t>5.6、叠螺脱水机</w:t>
      </w:r>
    </w:p>
    <w:tbl>
      <w:tblPr>
        <w:tblStyle w:val="18"/>
        <w:tblW w:w="4999" w:type="pct"/>
        <w:jc w:val="center"/>
        <w:tblLayout w:type="autofit"/>
        <w:tblCellMar>
          <w:top w:w="0" w:type="dxa"/>
          <w:left w:w="108" w:type="dxa"/>
          <w:bottom w:w="0" w:type="dxa"/>
          <w:right w:w="108" w:type="dxa"/>
        </w:tblCellMar>
      </w:tblPr>
      <w:tblGrid>
        <w:gridCol w:w="1304"/>
        <w:gridCol w:w="1971"/>
        <w:gridCol w:w="1304"/>
        <w:gridCol w:w="1756"/>
        <w:gridCol w:w="3239"/>
      </w:tblGrid>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项目</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规格</w:t>
            </w:r>
          </w:p>
        </w:tc>
      </w:tr>
      <w:tr>
        <w:tblPrEx>
          <w:tblCellMar>
            <w:top w:w="0" w:type="dxa"/>
            <w:left w:w="108" w:type="dxa"/>
            <w:bottom w:w="0" w:type="dxa"/>
            <w:right w:w="108" w:type="dxa"/>
          </w:tblCellMar>
        </w:tblPrEx>
        <w:trPr>
          <w:trHeight w:val="36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尺寸</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L3300×W900×H1720[㎜]</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总功率</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2.2</w:t>
            </w:r>
            <w:r>
              <w:rPr>
                <w:rFonts w:hint="eastAsia" w:ascii="宋体" w:hAnsi="宋体" w:cs="宋体"/>
                <w:color w:val="000000"/>
                <w:kern w:val="0"/>
                <w:sz w:val="22"/>
                <w:szCs w:val="22"/>
                <w:lang w:val="en-US"/>
              </w:rPr>
              <w:t>[kW]</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处理量</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DS30-75kg/h</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进泥浓度</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10000mg/L-20000mg/L</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进泥量</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1.5m³/h-3m³/h</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出泥量</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150~300kg/h</w:t>
            </w:r>
          </w:p>
        </w:tc>
      </w:tr>
      <w:tr>
        <w:tblPrEx>
          <w:tblCellMar>
            <w:top w:w="0" w:type="dxa"/>
            <w:left w:w="108" w:type="dxa"/>
            <w:bottom w:w="0" w:type="dxa"/>
            <w:right w:w="108" w:type="dxa"/>
          </w:tblCellMar>
        </w:tblPrEx>
        <w:trPr>
          <w:trHeight w:val="33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最大加药量</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360L/h</w:t>
            </w:r>
          </w:p>
        </w:tc>
      </w:tr>
      <w:tr>
        <w:tblPrEx>
          <w:tblCellMar>
            <w:top w:w="0" w:type="dxa"/>
            <w:left w:w="108" w:type="dxa"/>
            <w:bottom w:w="0" w:type="dxa"/>
            <w:right w:w="108" w:type="dxa"/>
          </w:tblCellMar>
        </w:tblPrEx>
        <w:trPr>
          <w:trHeight w:val="640" w:hRule="atLeast"/>
          <w:jc w:val="center"/>
        </w:trPr>
        <w:tc>
          <w:tcPr>
            <w:tcW w:w="1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供电</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功率 1φ 380V/50Hz</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制控 1 φ220V/50Hz</w:t>
            </w:r>
          </w:p>
        </w:tc>
      </w:tr>
      <w:tr>
        <w:tblPrEx>
          <w:tblCellMar>
            <w:top w:w="0" w:type="dxa"/>
            <w:left w:w="108" w:type="dxa"/>
            <w:bottom w:w="0" w:type="dxa"/>
            <w:right w:w="108" w:type="dxa"/>
          </w:tblCellMar>
        </w:tblPrEx>
        <w:trPr>
          <w:trHeight w:val="630" w:hRule="atLeast"/>
          <w:jc w:val="center"/>
        </w:trPr>
        <w:tc>
          <w:tcPr>
            <w:tcW w:w="6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叠螺主体</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规格×长度</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300型×1500[㎜]（有效过滤长度）</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数量</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环片</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厚度</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2.75mm</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w:t>
            </w:r>
          </w:p>
        </w:tc>
      </w:tr>
      <w:tr>
        <w:tblPrEx>
          <w:tblCellMar>
            <w:top w:w="0" w:type="dxa"/>
            <w:left w:w="108" w:type="dxa"/>
            <w:bottom w:w="0" w:type="dxa"/>
            <w:right w:w="108" w:type="dxa"/>
          </w:tblCellMar>
        </w:tblPrEx>
        <w:trPr>
          <w:trHeight w:val="38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加工方式</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激光切割氮气保护</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支架板</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厚度</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6mm</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w:t>
            </w:r>
          </w:p>
        </w:tc>
      </w:tr>
      <w:tr>
        <w:tblPrEx>
          <w:tblCellMar>
            <w:top w:w="0" w:type="dxa"/>
            <w:left w:w="108" w:type="dxa"/>
            <w:bottom w:w="0" w:type="dxa"/>
            <w:right w:w="108" w:type="dxa"/>
          </w:tblCellMar>
        </w:tblPrEx>
        <w:trPr>
          <w:trHeight w:val="32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加工方式</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激光切割氮气保护</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垫片</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厚度</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3.1mm</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不锈钢304+高分子塑料</w:t>
            </w:r>
          </w:p>
        </w:tc>
      </w:tr>
      <w:tr>
        <w:tblPrEx>
          <w:tblCellMar>
            <w:top w:w="0" w:type="dxa"/>
            <w:left w:w="108" w:type="dxa"/>
            <w:bottom w:w="0" w:type="dxa"/>
            <w:right w:w="108" w:type="dxa"/>
          </w:tblCellMar>
        </w:tblPrEx>
        <w:trPr>
          <w:trHeight w:val="34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主轴</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加工工艺</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激光下料</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w:t>
            </w:r>
          </w:p>
        </w:tc>
      </w:tr>
      <w:tr>
        <w:tblPrEx>
          <w:tblCellMar>
            <w:top w:w="0" w:type="dxa"/>
            <w:left w:w="108" w:type="dxa"/>
            <w:bottom w:w="0" w:type="dxa"/>
            <w:right w:w="108" w:type="dxa"/>
          </w:tblCellMar>
        </w:tblPrEx>
        <w:trPr>
          <w:trHeight w:val="38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加工方式</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端面堆焊高强合金</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连接杆</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规格</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Φ12x6</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w:t>
            </w:r>
          </w:p>
        </w:tc>
      </w:tr>
      <w:tr>
        <w:tblPrEx>
          <w:tblCellMar>
            <w:top w:w="0" w:type="dxa"/>
            <w:left w:w="108" w:type="dxa"/>
            <w:bottom w:w="0" w:type="dxa"/>
            <w:right w:w="108" w:type="dxa"/>
          </w:tblCellMar>
        </w:tblPrEx>
        <w:trPr>
          <w:trHeight w:val="480" w:hRule="atLeast"/>
          <w:jc w:val="center"/>
        </w:trPr>
        <w:tc>
          <w:tcPr>
            <w:tcW w:w="6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叠螺电机</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型号</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K77R37（变频调速）　</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诺威传动</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规格</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防水 (IP54)</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功率</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0.55kw</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转速</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0-3.2r/min</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絮凝混合槽</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尺寸</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L 600×W600×H930 [㎜]</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容量</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约350[L]</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w:t>
            </w:r>
          </w:p>
        </w:tc>
      </w:tr>
      <w:tr>
        <w:tblPrEx>
          <w:tblCellMar>
            <w:top w:w="0" w:type="dxa"/>
            <w:left w:w="108" w:type="dxa"/>
            <w:bottom w:w="0" w:type="dxa"/>
            <w:right w:w="108" w:type="dxa"/>
          </w:tblCellMar>
        </w:tblPrEx>
        <w:trPr>
          <w:trHeight w:val="60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絮凝混合槽</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型号</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RV75</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诺威传动</w:t>
            </w:r>
          </w:p>
        </w:tc>
      </w:tr>
      <w:tr>
        <w:tblPrEx>
          <w:tblCellMar>
            <w:top w:w="0" w:type="dxa"/>
            <w:left w:w="108" w:type="dxa"/>
            <w:bottom w:w="0" w:type="dxa"/>
            <w:right w:w="108" w:type="dxa"/>
          </w:tblCellMar>
        </w:tblPrEx>
        <w:trPr>
          <w:trHeight w:val="60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搅拌机电机</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规格</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防水 (IP54)</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功率</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1.1[kW]</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冲洗系统</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不锈钢304+pvc</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机 架</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15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jc w:val="center"/>
        </w:trPr>
        <w:tc>
          <w:tcPr>
            <w:tcW w:w="6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控制柜</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尺寸</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W 500×H 600×D 220 [㎜]（标准配置）</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不锈钢</w:t>
            </w:r>
          </w:p>
        </w:tc>
      </w:tr>
      <w:tr>
        <w:tblPrEx>
          <w:tblCellMar>
            <w:top w:w="0" w:type="dxa"/>
            <w:left w:w="108" w:type="dxa"/>
            <w:bottom w:w="0" w:type="dxa"/>
            <w:right w:w="108" w:type="dxa"/>
          </w:tblCellMar>
        </w:tblPrEx>
        <w:trPr>
          <w:trHeight w:val="6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控制开关</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主轴开关*1、搅拌开关*2、污泥泵开关*1、加药泵开关*1（标准配置）</w:t>
            </w:r>
          </w:p>
        </w:tc>
      </w:tr>
      <w:tr>
        <w:tblPrEx>
          <w:tblCellMar>
            <w:top w:w="0" w:type="dxa"/>
            <w:left w:w="108" w:type="dxa"/>
            <w:bottom w:w="0" w:type="dxa"/>
            <w:right w:w="108" w:type="dxa"/>
          </w:tblCellMar>
        </w:tblPrEx>
        <w:trPr>
          <w:trHeight w:val="330" w:hRule="atLeast"/>
          <w:jc w:val="center"/>
        </w:trPr>
        <w:tc>
          <w:tcPr>
            <w:tcW w:w="68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 xml:space="preserve"> 变频器</w:t>
            </w:r>
          </w:p>
        </w:tc>
        <w:tc>
          <w:tcPr>
            <w:tcW w:w="328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海瑞达</w:t>
            </w:r>
          </w:p>
        </w:tc>
      </w:tr>
      <w:tr>
        <w:tblPrEx>
          <w:tblCellMar>
            <w:top w:w="0" w:type="dxa"/>
            <w:left w:w="108" w:type="dxa"/>
            <w:bottom w:w="0" w:type="dxa"/>
            <w:right w:w="108" w:type="dxa"/>
          </w:tblCellMar>
        </w:tblPrEx>
        <w:trPr>
          <w:trHeight w:val="28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净重</w:t>
            </w:r>
          </w:p>
        </w:tc>
        <w:tc>
          <w:tcPr>
            <w:tcW w:w="431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850kg</w:t>
            </w:r>
          </w:p>
        </w:tc>
      </w:tr>
      <w:tr>
        <w:tblPrEx>
          <w:tblCellMar>
            <w:top w:w="0" w:type="dxa"/>
            <w:left w:w="108" w:type="dxa"/>
            <w:bottom w:w="0" w:type="dxa"/>
            <w:right w:w="108" w:type="dxa"/>
          </w:tblCellMar>
        </w:tblPrEx>
        <w:trPr>
          <w:trHeight w:val="280" w:hRule="atLeast"/>
          <w:jc w:val="center"/>
        </w:trPr>
        <w:tc>
          <w:tcPr>
            <w:tcW w:w="68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运行重量</w:t>
            </w:r>
          </w:p>
        </w:tc>
        <w:tc>
          <w:tcPr>
            <w:tcW w:w="431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1600kg</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温度适用范围</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-10℃ ～ +40℃ (不可结冰)</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湿度适用范围</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最大 90%RH  (不可结露)</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高度</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海拔1200m 以下</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电源电压</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三相　380V　50Hz</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自控</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1 φ220V/50Hz</w:t>
            </w:r>
          </w:p>
        </w:tc>
      </w:tr>
      <w:tr>
        <w:tblPrEx>
          <w:tblCellMar>
            <w:top w:w="0" w:type="dxa"/>
            <w:left w:w="108" w:type="dxa"/>
            <w:bottom w:w="0" w:type="dxa"/>
            <w:right w:w="108" w:type="dxa"/>
          </w:tblCellMar>
        </w:tblPrEx>
        <w:trPr>
          <w:trHeight w:val="280" w:hRule="atLeast"/>
          <w:jc w:val="center"/>
        </w:trPr>
        <w:tc>
          <w:tcPr>
            <w:tcW w:w="2391" w:type="pct"/>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供水水压</w:t>
            </w:r>
          </w:p>
        </w:tc>
        <w:tc>
          <w:tcPr>
            <w:tcW w:w="2608" w:type="pct"/>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jc w:val="center"/>
              <w:textAlignment w:val="bottom"/>
              <w:rPr>
                <w:rFonts w:ascii="宋体" w:hAnsi="宋体" w:cs="宋体"/>
                <w:color w:val="000000"/>
                <w:sz w:val="22"/>
                <w:szCs w:val="22"/>
              </w:rPr>
            </w:pPr>
            <w:r>
              <w:rPr>
                <w:rFonts w:hint="eastAsia" w:ascii="宋体" w:hAnsi="宋体" w:cs="宋体"/>
                <w:color w:val="000000"/>
                <w:kern w:val="0"/>
                <w:sz w:val="22"/>
                <w:szCs w:val="22"/>
                <w:lang w:val="en-US"/>
              </w:rPr>
              <w:t>0.1～0.2MPa</w:t>
            </w:r>
          </w:p>
        </w:tc>
      </w:tr>
    </w:tbl>
    <w:p>
      <w:pPr>
        <w:pStyle w:val="5"/>
        <w:rPr>
          <w:rFonts w:hint="eastAsia"/>
        </w:rPr>
      </w:pPr>
    </w:p>
    <w:p>
      <w:pPr>
        <w:spacing w:line="360" w:lineRule="auto"/>
        <w:rPr>
          <w:rFonts w:hint="eastAsia"/>
          <w:b/>
          <w:bCs/>
          <w:lang w:val="en-US"/>
        </w:rPr>
      </w:pPr>
      <w:r>
        <w:rPr>
          <w:rFonts w:hint="eastAsia"/>
          <w:b/>
          <w:bCs/>
          <w:lang w:val="en-US"/>
        </w:rPr>
        <w:t>5.7、曝气盘</w:t>
      </w:r>
    </w:p>
    <w:tbl>
      <w:tblPr>
        <w:tblStyle w:val="18"/>
        <w:tblW w:w="5000" w:type="pct"/>
        <w:jc w:val="center"/>
        <w:tblLayout w:type="autofit"/>
        <w:tblCellMar>
          <w:top w:w="0" w:type="dxa"/>
          <w:left w:w="108" w:type="dxa"/>
          <w:bottom w:w="0" w:type="dxa"/>
          <w:right w:w="108" w:type="dxa"/>
        </w:tblCellMar>
      </w:tblPr>
      <w:tblGrid>
        <w:gridCol w:w="2988"/>
        <w:gridCol w:w="3292"/>
        <w:gridCol w:w="3296"/>
      </w:tblGrid>
      <w:tr>
        <w:tblPrEx>
          <w:tblCellMar>
            <w:top w:w="0" w:type="dxa"/>
            <w:left w:w="108" w:type="dxa"/>
            <w:bottom w:w="0" w:type="dxa"/>
            <w:right w:w="108" w:type="dxa"/>
          </w:tblCellMar>
        </w:tblPrEx>
        <w:trPr>
          <w:trHeight w:val="36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val="en-US"/>
              </w:rPr>
              <w:t>盘式曝气头型号参数</w:t>
            </w:r>
          </w:p>
        </w:tc>
      </w:tr>
      <w:tr>
        <w:tblPrEx>
          <w:tblCellMar>
            <w:top w:w="0" w:type="dxa"/>
            <w:left w:w="108" w:type="dxa"/>
            <w:bottom w:w="0" w:type="dxa"/>
            <w:right w:w="108" w:type="dxa"/>
          </w:tblCellMar>
        </w:tblPrEx>
        <w:trPr>
          <w:trHeight w:val="400" w:hRule="atLeast"/>
          <w:jc w:val="center"/>
        </w:trPr>
        <w:tc>
          <w:tcPr>
            <w:tcW w:w="156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项目</w:t>
            </w:r>
          </w:p>
        </w:tc>
        <w:tc>
          <w:tcPr>
            <w:tcW w:w="171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技术参数</w:t>
            </w:r>
          </w:p>
        </w:tc>
        <w:tc>
          <w:tcPr>
            <w:tcW w:w="172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响应参数</w:t>
            </w:r>
          </w:p>
        </w:tc>
      </w:tr>
      <w:tr>
        <w:tblPrEx>
          <w:tblCellMar>
            <w:top w:w="0" w:type="dxa"/>
            <w:left w:w="108" w:type="dxa"/>
            <w:bottom w:w="0" w:type="dxa"/>
            <w:right w:w="108" w:type="dxa"/>
          </w:tblCellMar>
        </w:tblPrEx>
        <w:trPr>
          <w:trHeight w:val="825"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盘式曝气头型号       Disc Diffuser Data</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215</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215</w:t>
            </w:r>
          </w:p>
        </w:tc>
      </w:tr>
      <w:tr>
        <w:tblPrEx>
          <w:tblCellMar>
            <w:top w:w="0" w:type="dxa"/>
            <w:left w:w="108" w:type="dxa"/>
            <w:bottom w:w="0" w:type="dxa"/>
            <w:right w:w="108" w:type="dxa"/>
          </w:tblCellMar>
        </w:tblPrEx>
        <w:trPr>
          <w:trHeight w:val="56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运行空气流量范围</w:t>
            </w:r>
            <w:r>
              <w:rPr>
                <w:rFonts w:ascii="Tahoma" w:hAnsi="Tahoma" w:eastAsia="Tahoma" w:cs="Tahoma"/>
                <w:color w:val="000000"/>
                <w:kern w:val="0"/>
                <w:sz w:val="22"/>
                <w:szCs w:val="22"/>
                <w:lang w:val="en-US"/>
              </w:rPr>
              <w:t>,m3/h Operating flow range</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0.5- 4.0</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0.5- 4.0</w:t>
            </w:r>
          </w:p>
        </w:tc>
      </w:tr>
      <w:tr>
        <w:tblPrEx>
          <w:tblCellMar>
            <w:top w:w="0" w:type="dxa"/>
            <w:left w:w="108" w:type="dxa"/>
            <w:bottom w:w="0" w:type="dxa"/>
            <w:right w:w="108" w:type="dxa"/>
          </w:tblCellMar>
        </w:tblPrEx>
        <w:trPr>
          <w:trHeight w:val="56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曝气头设置密度</w:t>
            </w:r>
            <w:r>
              <w:rPr>
                <w:rFonts w:ascii="Tahoma" w:hAnsi="Tahoma" w:eastAsia="Tahoma" w:cs="Tahoma"/>
                <w:color w:val="000000"/>
                <w:kern w:val="0"/>
                <w:sz w:val="22"/>
                <w:szCs w:val="22"/>
                <w:lang w:val="en-US"/>
              </w:rPr>
              <w:t>, %Diffuser density</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2--24</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2--24</w:t>
            </w:r>
          </w:p>
        </w:tc>
      </w:tr>
      <w:tr>
        <w:tblPrEx>
          <w:tblCellMar>
            <w:top w:w="0" w:type="dxa"/>
            <w:left w:w="108" w:type="dxa"/>
            <w:bottom w:w="0" w:type="dxa"/>
            <w:right w:w="108" w:type="dxa"/>
          </w:tblCellMar>
        </w:tblPrEx>
        <w:trPr>
          <w:trHeight w:val="56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曝气头表面积</w:t>
            </w:r>
            <w:r>
              <w:rPr>
                <w:rFonts w:ascii="Tahoma" w:hAnsi="Tahoma" w:eastAsia="Tahoma" w:cs="Tahoma"/>
                <w:color w:val="000000"/>
                <w:kern w:val="0"/>
                <w:sz w:val="22"/>
                <w:szCs w:val="22"/>
                <w:lang w:val="en-US"/>
              </w:rPr>
              <w:t>, m2            Surface area</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0.025</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0.025</w:t>
            </w:r>
          </w:p>
        </w:tc>
      </w:tr>
      <w:tr>
        <w:tblPrEx>
          <w:tblCellMar>
            <w:top w:w="0" w:type="dxa"/>
            <w:left w:w="108" w:type="dxa"/>
            <w:bottom w:w="0" w:type="dxa"/>
            <w:right w:w="108" w:type="dxa"/>
          </w:tblCellMar>
        </w:tblPrEx>
        <w:trPr>
          <w:trHeight w:val="56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气泡尺寸</w:t>
            </w:r>
            <w:r>
              <w:rPr>
                <w:rFonts w:ascii="Tahoma" w:hAnsi="Tahoma" w:eastAsia="Tahoma" w:cs="Tahoma"/>
                <w:color w:val="000000"/>
                <w:kern w:val="0"/>
                <w:sz w:val="22"/>
                <w:szCs w:val="22"/>
                <w:lang w:val="en-US"/>
              </w:rPr>
              <w:t>, mm             Size of bubble</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1--3</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1--3</w:t>
            </w:r>
          </w:p>
        </w:tc>
      </w:tr>
      <w:tr>
        <w:tblPrEx>
          <w:tblCellMar>
            <w:top w:w="0" w:type="dxa"/>
            <w:left w:w="108" w:type="dxa"/>
            <w:bottom w:w="0" w:type="dxa"/>
            <w:right w:w="108" w:type="dxa"/>
          </w:tblCellMar>
        </w:tblPrEx>
        <w:trPr>
          <w:trHeight w:val="84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氧利用率</w:t>
            </w:r>
            <w:r>
              <w:rPr>
                <w:rFonts w:ascii="Tahoma" w:hAnsi="Tahoma" w:eastAsia="Tahoma" w:cs="Tahoma"/>
                <w:color w:val="000000"/>
                <w:kern w:val="0"/>
                <w:sz w:val="22"/>
                <w:szCs w:val="22"/>
                <w:lang w:val="en-US"/>
              </w:rPr>
              <w:t>(</w:t>
            </w:r>
            <w:r>
              <w:rPr>
                <w:rFonts w:hint="eastAsia" w:ascii="宋体" w:hAnsi="宋体" w:cs="宋体"/>
                <w:color w:val="000000"/>
                <w:kern w:val="0"/>
                <w:sz w:val="22"/>
                <w:szCs w:val="22"/>
                <w:lang w:val="en-US"/>
              </w:rPr>
              <w:t>标况下</w:t>
            </w:r>
            <w:r>
              <w:rPr>
                <w:rFonts w:ascii="Tahoma" w:hAnsi="Tahoma" w:eastAsia="Tahoma" w:cs="Tahoma"/>
                <w:color w:val="000000"/>
                <w:kern w:val="0"/>
                <w:sz w:val="22"/>
                <w:szCs w:val="22"/>
                <w:lang w:val="en-US"/>
              </w:rPr>
              <w:t>4m</w:t>
            </w:r>
            <w:r>
              <w:rPr>
                <w:rFonts w:hint="eastAsia" w:ascii="宋体" w:hAnsi="宋体" w:cs="宋体"/>
                <w:color w:val="000000"/>
                <w:kern w:val="0"/>
                <w:sz w:val="22"/>
                <w:szCs w:val="22"/>
                <w:lang w:val="en-US"/>
              </w:rPr>
              <w:t>水深</w:t>
            </w:r>
            <w:r>
              <w:rPr>
                <w:rFonts w:ascii="Tahoma" w:hAnsi="Tahoma" w:eastAsia="Tahoma" w:cs="Tahoma"/>
                <w:color w:val="000000"/>
                <w:kern w:val="0"/>
                <w:sz w:val="22"/>
                <w:szCs w:val="22"/>
                <w:lang w:val="en-US"/>
              </w:rPr>
              <w:t>)</w:t>
            </w:r>
            <w:r>
              <w:rPr>
                <w:rFonts w:hint="eastAsia" w:ascii="宋体" w:hAnsi="宋体" w:cs="宋体"/>
                <w:color w:val="000000"/>
                <w:kern w:val="0"/>
                <w:sz w:val="22"/>
                <w:szCs w:val="22"/>
                <w:lang w:val="en-US"/>
              </w:rPr>
              <w:t>，</w:t>
            </w:r>
            <w:r>
              <w:rPr>
                <w:rFonts w:ascii="Tahoma" w:hAnsi="Tahoma" w:eastAsia="Tahoma" w:cs="Tahoma"/>
                <w:color w:val="000000"/>
                <w:kern w:val="0"/>
                <w:sz w:val="22"/>
                <w:szCs w:val="22"/>
                <w:lang w:val="en-US"/>
              </w:rPr>
              <w:t xml:space="preserve"> %                      Standard oxygen transfer effciency</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20--30</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20--30</w:t>
            </w:r>
          </w:p>
        </w:tc>
      </w:tr>
      <w:tr>
        <w:tblPrEx>
          <w:tblCellMar>
            <w:top w:w="0" w:type="dxa"/>
            <w:left w:w="108" w:type="dxa"/>
            <w:bottom w:w="0" w:type="dxa"/>
            <w:right w:w="108" w:type="dxa"/>
          </w:tblCellMar>
        </w:tblPrEx>
        <w:trPr>
          <w:trHeight w:val="560" w:hRule="atLeast"/>
          <w:jc w:val="center"/>
        </w:trPr>
        <w:tc>
          <w:tcPr>
            <w:tcW w:w="15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服务面积，</w:t>
            </w:r>
            <w:r>
              <w:rPr>
                <w:rFonts w:ascii="Tahoma" w:hAnsi="Tahoma" w:eastAsia="Tahoma" w:cs="Tahoma"/>
                <w:color w:val="000000"/>
                <w:kern w:val="0"/>
                <w:sz w:val="22"/>
                <w:szCs w:val="22"/>
                <w:lang w:val="en-US"/>
              </w:rPr>
              <w:t>m2            serve area</w:t>
            </w:r>
          </w:p>
        </w:tc>
        <w:tc>
          <w:tcPr>
            <w:tcW w:w="1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0.2--0.75</w:t>
            </w:r>
          </w:p>
        </w:tc>
        <w:tc>
          <w:tcPr>
            <w:tcW w:w="17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val="en-US"/>
              </w:rPr>
              <w:t>0.2--0.75</w:t>
            </w:r>
          </w:p>
        </w:tc>
      </w:tr>
    </w:tbl>
    <w:p>
      <w:pPr>
        <w:pStyle w:val="5"/>
        <w:rPr>
          <w:rFonts w:hint="eastAsia"/>
        </w:rPr>
      </w:pPr>
    </w:p>
    <w:p>
      <w:pPr>
        <w:spacing w:line="360" w:lineRule="auto"/>
        <w:rPr>
          <w:rFonts w:hint="eastAsia"/>
          <w:b/>
          <w:bCs/>
          <w:lang w:val="en-US"/>
        </w:rPr>
      </w:pPr>
      <w:r>
        <w:rPr>
          <w:rFonts w:hint="eastAsia"/>
          <w:b/>
          <w:bCs/>
          <w:lang w:val="en-US"/>
        </w:rPr>
        <w:t>5.8、混凝池</w:t>
      </w:r>
    </w:p>
    <w:tbl>
      <w:tblPr>
        <w:tblStyle w:val="18"/>
        <w:tblW w:w="5000" w:type="pct"/>
        <w:jc w:val="center"/>
        <w:tblLayout w:type="autofit"/>
        <w:tblCellMar>
          <w:top w:w="0" w:type="dxa"/>
          <w:left w:w="108" w:type="dxa"/>
          <w:bottom w:w="0" w:type="dxa"/>
          <w:right w:w="108" w:type="dxa"/>
        </w:tblCellMar>
      </w:tblPr>
      <w:tblGrid>
        <w:gridCol w:w="2330"/>
        <w:gridCol w:w="3239"/>
        <w:gridCol w:w="4007"/>
      </w:tblGrid>
      <w:tr>
        <w:tblPrEx>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val="en-US"/>
              </w:rPr>
              <w:t>混凝池技术规格参数数据表</w:t>
            </w:r>
          </w:p>
        </w:tc>
      </w:tr>
      <w:tr>
        <w:tblPrEx>
          <w:tblCellMar>
            <w:top w:w="0" w:type="dxa"/>
            <w:left w:w="108" w:type="dxa"/>
            <w:bottom w:w="0" w:type="dxa"/>
            <w:right w:w="108" w:type="dxa"/>
          </w:tblCellMar>
        </w:tblPrEx>
        <w:trPr>
          <w:trHeight w:val="280" w:hRule="atLeast"/>
          <w:jc w:val="center"/>
        </w:trPr>
        <w:tc>
          <w:tcPr>
            <w:tcW w:w="29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设备名称：混凝池</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设备位号：</w:t>
            </w:r>
            <w:r>
              <w:rPr>
                <w:rFonts w:ascii="Arial" w:hAnsi="Arial" w:cs="Arial"/>
                <w:color w:val="000000"/>
                <w:kern w:val="0"/>
                <w:sz w:val="22"/>
                <w:szCs w:val="22"/>
                <w:lang w:val="en-US"/>
              </w:rPr>
              <w:t>/</w:t>
            </w:r>
          </w:p>
        </w:tc>
      </w:tr>
      <w:tr>
        <w:tblPrEx>
          <w:tblCellMar>
            <w:top w:w="0" w:type="dxa"/>
            <w:left w:w="108" w:type="dxa"/>
            <w:bottom w:w="0" w:type="dxa"/>
            <w:right w:w="108" w:type="dxa"/>
          </w:tblCellMar>
        </w:tblPrEx>
        <w:trPr>
          <w:trHeight w:val="280" w:hRule="atLeast"/>
          <w:jc w:val="center"/>
        </w:trPr>
        <w:tc>
          <w:tcPr>
            <w:tcW w:w="29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安装位置：/</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数量（台）：1</w:t>
            </w:r>
          </w:p>
        </w:tc>
      </w:tr>
      <w:tr>
        <w:tblPrEx>
          <w:tblCellMar>
            <w:top w:w="0" w:type="dxa"/>
            <w:left w:w="108" w:type="dxa"/>
            <w:bottom w:w="0" w:type="dxa"/>
            <w:right w:w="108" w:type="dxa"/>
          </w:tblCellMar>
        </w:tblPrEx>
        <w:trPr>
          <w:trHeight w:val="280" w:hRule="atLeast"/>
          <w:jc w:val="center"/>
        </w:trPr>
        <w:tc>
          <w:tcPr>
            <w:tcW w:w="121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介质</w:t>
            </w: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主要成分</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悬浊液及有机杂质</w:t>
            </w:r>
          </w:p>
        </w:tc>
      </w:tr>
      <w:tr>
        <w:tblPrEx>
          <w:tblCellMar>
            <w:top w:w="0" w:type="dxa"/>
            <w:left w:w="108" w:type="dxa"/>
            <w:bottom w:w="0" w:type="dxa"/>
            <w:right w:w="108" w:type="dxa"/>
          </w:tblCellMar>
        </w:tblPrEx>
        <w:trPr>
          <w:trHeight w:val="280" w:hRule="atLeast"/>
          <w:jc w:val="center"/>
        </w:trPr>
        <w:tc>
          <w:tcPr>
            <w:tcW w:w="121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温度（℃）</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hint="eastAsia" w:ascii="宋体" w:hAnsi="宋体" w:cs="宋体"/>
                <w:color w:val="000000"/>
                <w:kern w:val="0"/>
                <w:sz w:val="22"/>
                <w:szCs w:val="22"/>
                <w:lang w:val="en-US"/>
              </w:rPr>
              <w:t>常温</w:t>
            </w:r>
          </w:p>
        </w:tc>
      </w:tr>
      <w:tr>
        <w:tblPrEx>
          <w:tblCellMar>
            <w:top w:w="0" w:type="dxa"/>
            <w:left w:w="108" w:type="dxa"/>
            <w:bottom w:w="0" w:type="dxa"/>
            <w:right w:w="108" w:type="dxa"/>
          </w:tblCellMar>
        </w:tblPrEx>
        <w:trPr>
          <w:trHeight w:val="280" w:hRule="atLeast"/>
          <w:jc w:val="center"/>
        </w:trPr>
        <w:tc>
          <w:tcPr>
            <w:tcW w:w="121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密度（kg/m3</w:t>
            </w:r>
            <w:r>
              <w:rPr>
                <w:rFonts w:hint="eastAsia" w:ascii="宋体" w:hAnsi="宋体" w:cs="宋体"/>
                <w:color w:val="000000"/>
                <w:kern w:val="0"/>
                <w:sz w:val="22"/>
                <w:szCs w:val="22"/>
                <w:lang w:val="en-US"/>
              </w:rPr>
              <w:t>）</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 xml:space="preserve"> ≤1050</w:t>
            </w:r>
          </w:p>
        </w:tc>
      </w:tr>
      <w:tr>
        <w:tblPrEx>
          <w:tblCellMar>
            <w:top w:w="0" w:type="dxa"/>
            <w:left w:w="108" w:type="dxa"/>
            <w:bottom w:w="0" w:type="dxa"/>
            <w:right w:w="108" w:type="dxa"/>
          </w:tblCellMar>
        </w:tblPrEx>
        <w:trPr>
          <w:trHeight w:val="280" w:hRule="atLeast"/>
          <w:jc w:val="center"/>
        </w:trPr>
        <w:tc>
          <w:tcPr>
            <w:tcW w:w="121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 xml:space="preserve">PH </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4~10</w:t>
            </w:r>
          </w:p>
        </w:tc>
      </w:tr>
      <w:tr>
        <w:tblPrEx>
          <w:tblCellMar>
            <w:top w:w="0" w:type="dxa"/>
            <w:left w:w="108" w:type="dxa"/>
            <w:bottom w:w="0" w:type="dxa"/>
            <w:right w:w="108" w:type="dxa"/>
          </w:tblCellMar>
        </w:tblPrEx>
        <w:trPr>
          <w:trHeight w:val="560" w:hRule="atLeast"/>
          <w:jc w:val="center"/>
        </w:trPr>
        <w:tc>
          <w:tcPr>
            <w:tcW w:w="121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Arial" w:hAnsi="Arial" w:eastAsia="Tahoma" w:cs="Arial"/>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★额定功率（kW</w:t>
            </w:r>
            <w:r>
              <w:rPr>
                <w:rFonts w:hint="eastAsia" w:ascii="宋体" w:hAnsi="宋体" w:cs="宋体"/>
                <w:color w:val="000000"/>
                <w:kern w:val="0"/>
                <w:sz w:val="22"/>
                <w:szCs w:val="22"/>
                <w:lang w:val="en-US"/>
              </w:rPr>
              <w:t>）</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≤1.5</w:t>
            </w:r>
          </w:p>
        </w:tc>
      </w:tr>
      <w:tr>
        <w:tblPrEx>
          <w:tblCellMar>
            <w:top w:w="0" w:type="dxa"/>
            <w:left w:w="108" w:type="dxa"/>
            <w:bottom w:w="0" w:type="dxa"/>
            <w:right w:w="108" w:type="dxa"/>
          </w:tblCellMar>
        </w:tblPrEx>
        <w:trPr>
          <w:trHeight w:val="280" w:hRule="atLeast"/>
          <w:jc w:val="center"/>
        </w:trPr>
        <w:tc>
          <w:tcPr>
            <w:tcW w:w="121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主要参数</w:t>
            </w: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尺寸</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4.0</w:t>
            </w:r>
            <w:r>
              <w:rPr>
                <w:rFonts w:hint="eastAsia" w:ascii="宋体" w:hAnsi="宋体" w:cs="宋体"/>
                <w:color w:val="000000"/>
                <w:kern w:val="0"/>
                <w:sz w:val="22"/>
                <w:szCs w:val="22"/>
                <w:lang w:val="en-US"/>
              </w:rPr>
              <w:t>米</w:t>
            </w:r>
            <w:r>
              <w:rPr>
                <w:rFonts w:ascii="Arial" w:hAnsi="Arial" w:eastAsia="Tahoma" w:cs="Arial"/>
                <w:color w:val="000000"/>
                <w:kern w:val="0"/>
                <w:sz w:val="22"/>
                <w:szCs w:val="22"/>
                <w:lang w:val="en-US"/>
              </w:rPr>
              <w:t>*2.0</w:t>
            </w:r>
            <w:r>
              <w:rPr>
                <w:rFonts w:hint="eastAsia" w:ascii="宋体" w:hAnsi="宋体" w:cs="宋体"/>
                <w:color w:val="000000"/>
                <w:kern w:val="0"/>
                <w:sz w:val="22"/>
                <w:szCs w:val="22"/>
                <w:lang w:val="en-US"/>
              </w:rPr>
              <w:t>米</w:t>
            </w:r>
            <w:r>
              <w:rPr>
                <w:rFonts w:ascii="Arial" w:hAnsi="Arial" w:eastAsia="Tahoma" w:cs="Arial"/>
                <w:color w:val="000000"/>
                <w:kern w:val="0"/>
                <w:sz w:val="22"/>
                <w:szCs w:val="22"/>
                <w:lang w:val="en-US"/>
              </w:rPr>
              <w:t>*3.0</w:t>
            </w:r>
            <w:r>
              <w:rPr>
                <w:rFonts w:hint="eastAsia" w:ascii="宋体" w:hAnsi="宋体" w:cs="宋体"/>
                <w:color w:val="000000"/>
                <w:kern w:val="0"/>
                <w:sz w:val="22"/>
                <w:szCs w:val="22"/>
                <w:lang w:val="en-US"/>
              </w:rPr>
              <w:t>米</w:t>
            </w:r>
          </w:p>
        </w:tc>
      </w:tr>
      <w:tr>
        <w:tblPrEx>
          <w:tblCellMar>
            <w:top w:w="0" w:type="dxa"/>
            <w:left w:w="108" w:type="dxa"/>
            <w:bottom w:w="0" w:type="dxa"/>
            <w:right w:w="108" w:type="dxa"/>
          </w:tblCellMar>
        </w:tblPrEx>
        <w:trPr>
          <w:trHeight w:val="280" w:hRule="atLeast"/>
          <w:jc w:val="center"/>
        </w:trPr>
        <w:tc>
          <w:tcPr>
            <w:tcW w:w="121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材质</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碳钢防腐</w:t>
            </w:r>
          </w:p>
        </w:tc>
      </w:tr>
      <w:tr>
        <w:tblPrEx>
          <w:tblCellMar>
            <w:top w:w="0" w:type="dxa"/>
            <w:left w:w="108" w:type="dxa"/>
            <w:bottom w:w="0" w:type="dxa"/>
            <w:right w:w="108" w:type="dxa"/>
          </w:tblCellMar>
        </w:tblPrEx>
        <w:trPr>
          <w:trHeight w:val="280" w:hRule="atLeast"/>
          <w:jc w:val="center"/>
        </w:trPr>
        <w:tc>
          <w:tcPr>
            <w:tcW w:w="121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材料</w:t>
            </w: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配套搅拌器</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0.75kw</w:t>
            </w:r>
            <w:r>
              <w:rPr>
                <w:rFonts w:hint="eastAsia" w:ascii="宋体" w:hAnsi="宋体" w:cs="宋体"/>
                <w:color w:val="000000"/>
                <w:kern w:val="0"/>
                <w:sz w:val="22"/>
                <w:szCs w:val="22"/>
                <w:lang w:val="en-US"/>
              </w:rPr>
              <w:t>（共</w:t>
            </w:r>
            <w:r>
              <w:rPr>
                <w:rFonts w:ascii="Arial" w:hAnsi="Arial" w:eastAsia="Tahoma" w:cs="Arial"/>
                <w:color w:val="000000"/>
                <w:kern w:val="0"/>
                <w:sz w:val="22"/>
                <w:szCs w:val="22"/>
                <w:lang w:val="en-US"/>
              </w:rPr>
              <w:t>2</w:t>
            </w:r>
            <w:r>
              <w:rPr>
                <w:rFonts w:hint="eastAsia" w:ascii="宋体" w:hAnsi="宋体" w:cs="宋体"/>
                <w:color w:val="000000"/>
                <w:kern w:val="0"/>
                <w:sz w:val="22"/>
                <w:szCs w:val="22"/>
                <w:lang w:val="en-US"/>
              </w:rPr>
              <w:t>台）</w:t>
            </w:r>
          </w:p>
        </w:tc>
      </w:tr>
      <w:tr>
        <w:tblPrEx>
          <w:tblCellMar>
            <w:top w:w="0" w:type="dxa"/>
            <w:left w:w="108" w:type="dxa"/>
            <w:bottom w:w="0" w:type="dxa"/>
            <w:right w:w="108" w:type="dxa"/>
          </w:tblCellMar>
        </w:tblPrEx>
        <w:trPr>
          <w:trHeight w:val="560" w:hRule="atLeast"/>
          <w:jc w:val="center"/>
        </w:trPr>
        <w:tc>
          <w:tcPr>
            <w:tcW w:w="121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 w:val="22"/>
                <w:szCs w:val="22"/>
              </w:rPr>
            </w:pPr>
          </w:p>
        </w:tc>
        <w:tc>
          <w:tcPr>
            <w:tcW w:w="16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所有连接附件、地脚螺栓</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不锈钢304</w:t>
            </w:r>
          </w:p>
        </w:tc>
      </w:tr>
      <w:tr>
        <w:tblPrEx>
          <w:tblCellMar>
            <w:top w:w="0" w:type="dxa"/>
            <w:left w:w="108" w:type="dxa"/>
            <w:bottom w:w="0" w:type="dxa"/>
            <w:right w:w="108" w:type="dxa"/>
          </w:tblCellMar>
        </w:tblPrEx>
        <w:trPr>
          <w:trHeight w:val="1360" w:hRule="atLeast"/>
          <w:jc w:val="center"/>
        </w:trPr>
        <w:tc>
          <w:tcPr>
            <w:tcW w:w="12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Arial" w:hAnsi="Arial" w:eastAsia="Tahoma" w:cs="Arial"/>
                <w:color w:val="000000"/>
                <w:sz w:val="22"/>
                <w:szCs w:val="22"/>
              </w:rPr>
            </w:pPr>
            <w:r>
              <w:rPr>
                <w:rFonts w:ascii="Arial" w:hAnsi="Arial" w:eastAsia="Tahoma" w:cs="Arial"/>
                <w:color w:val="000000"/>
                <w:kern w:val="0"/>
                <w:sz w:val="22"/>
                <w:szCs w:val="22"/>
                <w:lang w:val="en-US"/>
              </w:rPr>
              <w:t>供货范围</w:t>
            </w:r>
          </w:p>
        </w:tc>
        <w:tc>
          <w:tcPr>
            <w:tcW w:w="378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rPr>
              <w:t>主机■         搅拌杆■</w:t>
            </w:r>
          </w:p>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val="en-US"/>
              </w:rPr>
              <w:t xml:space="preserve">           其它附件等■</w:t>
            </w:r>
          </w:p>
        </w:tc>
      </w:tr>
    </w:tbl>
    <w:p>
      <w:pPr>
        <w:rPr>
          <w:lang w:val="en-US"/>
        </w:rPr>
      </w:pPr>
    </w:p>
    <w:bookmarkEnd w:id="4"/>
    <w:p>
      <w:pPr>
        <w:spacing w:line="360" w:lineRule="auto"/>
        <w:outlineLvl w:val="0"/>
        <w:rPr>
          <w:rFonts w:hint="eastAsia" w:ascii="宋体" w:hAnsi="宋体" w:eastAsia="宋体" w:cs="宋体"/>
          <w:b/>
          <w:sz w:val="24"/>
          <w:szCs w:val="24"/>
        </w:rPr>
      </w:pPr>
      <w:bookmarkStart w:id="152" w:name="_Toc27895"/>
      <w:bookmarkStart w:id="153" w:name="_Toc27455"/>
      <w:bookmarkStart w:id="154" w:name="_Toc7590"/>
      <w:bookmarkStart w:id="155" w:name="_Toc27204"/>
      <w:bookmarkStart w:id="156" w:name="_Toc13644"/>
      <w:bookmarkStart w:id="157" w:name="_Toc9405"/>
      <w:bookmarkStart w:id="158" w:name="_Toc16592"/>
      <w:bookmarkStart w:id="159" w:name="_Toc32327"/>
      <w:bookmarkStart w:id="160" w:name="_Toc14332"/>
      <w:r>
        <w:rPr>
          <w:rFonts w:hint="eastAsia" w:ascii="宋体" w:hAnsi="宋体" w:eastAsia="宋体" w:cs="宋体"/>
          <w:b/>
          <w:sz w:val="24"/>
          <w:szCs w:val="24"/>
          <w:lang w:val="en-US"/>
        </w:rPr>
        <w:t>6</w:t>
      </w:r>
      <w:r>
        <w:rPr>
          <w:rFonts w:hint="eastAsia" w:ascii="宋体" w:hAnsi="宋体" w:eastAsia="宋体" w:cs="宋体"/>
          <w:b/>
          <w:sz w:val="24"/>
          <w:szCs w:val="24"/>
        </w:rPr>
        <w:t>.质量及技术标准要求</w:t>
      </w:r>
      <w:bookmarkEnd w:id="152"/>
      <w:bookmarkEnd w:id="153"/>
      <w:bookmarkEnd w:id="154"/>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.1 乙方交付的设备的质量及技术标准应满足下列全部要求（如果下列要求有冲突的，以最高质量及技术标准为准。），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.1.1 双方在本合同专用条款约定及合同附件中约定的标准；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.1.2 国家标准、行业标准、生产企业标准中的最高标准；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.1.3 甲方向乙方明示的购买本设备的使用技术要求：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.1.4 甲方向乙方明示的购买本设备的使用目的、性能、特点要求：</w:t>
      </w:r>
    </w:p>
    <w:p>
      <w:pPr>
        <w:spacing w:line="360" w:lineRule="auto"/>
        <w:rPr>
          <w:rFonts w:hint="eastAsia" w:ascii="宋体" w:hAnsi="宋体" w:eastAsia="宋体" w:cs="宋体"/>
          <w:sz w:val="24"/>
          <w:szCs w:val="24"/>
          <w:lang w:val="en-US"/>
        </w:rPr>
      </w:pPr>
      <w:bookmarkStart w:id="161" w:name="_Toc15649"/>
      <w:bookmarkStart w:id="162" w:name="_Toc17224"/>
      <w:r>
        <w:rPr>
          <w:rFonts w:hint="eastAsia" w:ascii="宋体" w:hAnsi="宋体" w:eastAsia="宋体" w:cs="宋体"/>
          <w:sz w:val="24"/>
          <w:szCs w:val="24"/>
          <w:lang w:val="en-US" w:eastAsia="zh-CN"/>
        </w:rPr>
        <w:t>6</w:t>
      </w:r>
      <w:r>
        <w:rPr>
          <w:rFonts w:hint="eastAsia" w:ascii="宋体" w:hAnsi="宋体" w:eastAsia="宋体" w:cs="宋体"/>
          <w:sz w:val="24"/>
          <w:szCs w:val="24"/>
          <w:lang w:val="en-US"/>
        </w:rPr>
        <w:t>.1.5 乙方向甲方或不特定其它人出示、展示的产品说明书、产品宣传册、报价材料、乙方网站等对该设备产品的质量、技术性能所作的描述、宣示、承诺的标准。</w:t>
      </w:r>
      <w:bookmarkEnd w:id="161"/>
      <w:bookmarkEnd w:id="162"/>
    </w:p>
    <w:p>
      <w:pPr>
        <w:spacing w:line="360" w:lineRule="auto"/>
        <w:outlineLvl w:val="0"/>
        <w:rPr>
          <w:rFonts w:hint="eastAsia" w:ascii="宋体" w:hAnsi="宋体" w:eastAsia="宋体" w:cs="宋体"/>
          <w:b/>
          <w:sz w:val="24"/>
          <w:szCs w:val="24"/>
        </w:rPr>
      </w:pPr>
      <w:bookmarkStart w:id="163" w:name="_Toc20103"/>
      <w:bookmarkStart w:id="164" w:name="_Toc7249"/>
      <w:bookmarkStart w:id="165" w:name="_Toc23781"/>
      <w:r>
        <w:rPr>
          <w:rFonts w:hint="eastAsia" w:ascii="宋体" w:hAnsi="宋体" w:eastAsia="宋体" w:cs="宋体"/>
          <w:b/>
          <w:sz w:val="24"/>
          <w:szCs w:val="24"/>
          <w:lang w:val="en-US"/>
        </w:rPr>
        <w:t>7</w:t>
      </w:r>
      <w:r>
        <w:rPr>
          <w:rFonts w:hint="eastAsia" w:ascii="宋体" w:hAnsi="宋体" w:eastAsia="宋体" w:cs="宋体"/>
          <w:b/>
          <w:sz w:val="24"/>
          <w:szCs w:val="24"/>
        </w:rPr>
        <w:t>.包装标准及运输</w:t>
      </w:r>
      <w:bookmarkEnd w:id="163"/>
      <w:bookmarkEnd w:id="164"/>
      <w:bookmarkEnd w:id="165"/>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.1 乙方所交付的所有设备应按符合国家关于此类包装的相关标准，并保证适合长途运输和多次搬运、装卸，不能造成运输过程中箱件破损，设备和零件散失；并应按设备特点，按需要分别加上防潮、防霉、防锈、防腐蚀等保护措施，以保证设备在没有任何损坏和腐蚀的情况下安全运抵合同设备安装现场；包装费用由乙方承担。</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.2 每件包装箱内，应附有包括分件名称、数量、机组号、图号的详细装箱单、合格证等。</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.3 凡由于乙方包装或保管不善致使货物遇到损坏或丢失时，不论在何时何地发现，一经证实，乙方均应按本合同质保期相关规定负责及时修理、更换。</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.4 如无专门约定，包装物归甲方所有，并由甲方处置。</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.5 设备运输费用由乙方承担，本合同专门条款另有约定的从其约定。</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.6 乙方从工厂到项目所在地的所有运输风险均由乙方承担，运输中发现货物损坏和丢失时，乙方应负责与承运部门及保险公司交涉，甲方不负责运输过程中发生的一切费用及责任，同时乙方应尽快向买方补供货物。</w:t>
      </w:r>
    </w:p>
    <w:p>
      <w:pPr>
        <w:spacing w:line="360" w:lineRule="auto"/>
        <w:outlineLvl w:val="0"/>
        <w:rPr>
          <w:rFonts w:hint="eastAsia" w:ascii="宋体" w:hAnsi="宋体" w:eastAsia="宋体" w:cs="宋体"/>
          <w:b/>
          <w:sz w:val="24"/>
          <w:szCs w:val="24"/>
        </w:rPr>
      </w:pPr>
      <w:bookmarkStart w:id="166" w:name="_Toc29461"/>
      <w:bookmarkStart w:id="167" w:name="_Toc16181"/>
      <w:bookmarkStart w:id="168" w:name="_Toc3957"/>
      <w:r>
        <w:rPr>
          <w:rFonts w:hint="eastAsia" w:ascii="宋体" w:hAnsi="宋体" w:eastAsia="宋体" w:cs="宋体"/>
          <w:b/>
          <w:sz w:val="24"/>
          <w:szCs w:val="24"/>
          <w:lang w:val="en-US"/>
        </w:rPr>
        <w:t>8</w:t>
      </w:r>
      <w:r>
        <w:rPr>
          <w:rFonts w:hint="eastAsia" w:ascii="宋体" w:hAnsi="宋体" w:eastAsia="宋体" w:cs="宋体"/>
          <w:b/>
          <w:sz w:val="24"/>
          <w:szCs w:val="24"/>
        </w:rPr>
        <w:t>.设备保证</w:t>
      </w:r>
      <w:bookmarkEnd w:id="166"/>
      <w:bookmarkEnd w:id="167"/>
      <w:bookmarkEnd w:id="168"/>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.1 乙方应承诺及保证设备是原厂生产的、全新的、未使用过的（包括但不限于零部件、赠品等），符合原厂质量检测标准（以说明书为准）；本合同有约定型号的以约定为准，没有约定的以最新型号为准，且含有设计上和材料上的全部最新改进。</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.2 乙方应保证设备没有任何设计、材料或工艺上的缺陷，或者没有因乙方的行为或疏忽而产生的缺陷，可安全用于设备使用目的之用途。</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.3 乙方应保证设备符合可适用的环保、安全等方面的国家法律法规及国家标准的要求。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.4 乙方应保证甲方基于设备的使用不会侵犯或被认为侵犯第三方的专利、版权、商标、商业秘密等知识产权权利；若甲方因此而遭受损失的，乙方应承担全部赔偿责任。</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.5 设备交付是指包括设备主机、零配件、技术资料等的全部交付，且经过甲方最终验收，以甲方无障碍的使用、达到使用目的为准。</w:t>
      </w:r>
    </w:p>
    <w:p>
      <w:pPr>
        <w:spacing w:line="360" w:lineRule="auto"/>
        <w:outlineLvl w:val="0"/>
        <w:rPr>
          <w:rFonts w:hint="eastAsia" w:ascii="宋体" w:hAnsi="宋体" w:eastAsia="宋体" w:cs="宋体"/>
          <w:b/>
          <w:sz w:val="24"/>
          <w:szCs w:val="24"/>
        </w:rPr>
      </w:pPr>
      <w:bookmarkStart w:id="169" w:name="_Toc8151"/>
      <w:bookmarkStart w:id="170" w:name="_Toc6205"/>
      <w:bookmarkStart w:id="171" w:name="_Toc28299"/>
      <w:r>
        <w:rPr>
          <w:rFonts w:hint="eastAsia" w:ascii="宋体" w:hAnsi="宋体" w:eastAsia="宋体" w:cs="宋体"/>
          <w:b/>
          <w:sz w:val="24"/>
          <w:szCs w:val="24"/>
          <w:lang w:val="en-US"/>
        </w:rPr>
        <w:t>9</w:t>
      </w:r>
      <w:r>
        <w:rPr>
          <w:rFonts w:hint="eastAsia" w:ascii="宋体" w:hAnsi="宋体" w:eastAsia="宋体" w:cs="宋体"/>
          <w:b/>
          <w:sz w:val="24"/>
          <w:szCs w:val="24"/>
        </w:rPr>
        <w:t>.安装、调试及培训</w:t>
      </w:r>
      <w:bookmarkEnd w:id="169"/>
      <w:bookmarkEnd w:id="170"/>
      <w:bookmarkEnd w:id="171"/>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.1 安装前准备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.1.1 乙方应当在设备安装、调试前应向甲方提交设备技术资料、图纸及说明书等文件并通过甲方审核。乙方在安装、调试过程中，应当严格按照已通过审核的技术资料、图纸及说明书等文件设备进行安装、调试。</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.1.2 乙方应当在设备安全、调试前勘察安装现场，若设备的安装调试需要对安装现场进行布置，则乙方应在发货前提出书面布置并通过甲方审核。</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.2 安装、调试进度</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 xml:space="preserve">.2.1 </w:t>
      </w:r>
      <w:r>
        <w:rPr>
          <w:rFonts w:hint="eastAsia" w:ascii="宋体" w:hAnsi="宋体" w:eastAsia="宋体" w:cs="宋体"/>
          <w:sz w:val="24"/>
          <w:szCs w:val="24"/>
          <w:lang w:val="en-US"/>
        </w:rPr>
        <w:t>9</w:t>
      </w:r>
      <w:r>
        <w:rPr>
          <w:rFonts w:hint="eastAsia" w:ascii="宋体" w:hAnsi="宋体" w:eastAsia="宋体" w:cs="宋体"/>
          <w:sz w:val="24"/>
          <w:szCs w:val="24"/>
        </w:rPr>
        <w:t>乙方应在</w:t>
      </w:r>
      <w:r>
        <w:rPr>
          <w:rFonts w:hint="eastAsia" w:ascii="宋体" w:hAnsi="宋体" w:eastAsia="宋体" w:cs="宋体"/>
          <w:sz w:val="24"/>
          <w:szCs w:val="24"/>
          <w:lang w:val="en-US"/>
        </w:rPr>
        <w:t>约定的</w:t>
      </w:r>
      <w:r>
        <w:rPr>
          <w:rFonts w:hint="eastAsia" w:ascii="宋体" w:hAnsi="宋体" w:eastAsia="宋体" w:cs="宋体"/>
          <w:sz w:val="24"/>
          <w:szCs w:val="24"/>
        </w:rPr>
        <w:t>工期内完成设备的安装、调试。</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.2.2 安装工期自现场具备安装条件且甲方通知乙方进场之日（以两者较晚者为准）起计算。</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.2.3 因以下原因造成安装工期延误，由乙方书面提出申请并经甲方书面确认，工期相应顺延：</w:t>
      </w:r>
    </w:p>
    <w:p>
      <w:pPr>
        <w:spacing w:line="360" w:lineRule="auto"/>
        <w:rPr>
          <w:rFonts w:hint="eastAsia" w:ascii="宋体" w:hAnsi="宋体" w:eastAsia="宋体" w:cs="宋体"/>
          <w:sz w:val="24"/>
          <w:szCs w:val="24"/>
        </w:rPr>
      </w:pPr>
      <w:r>
        <w:rPr>
          <w:rFonts w:hint="eastAsia" w:ascii="宋体" w:hAnsi="宋体" w:eastAsia="宋体" w:cs="宋体"/>
          <w:sz w:val="24"/>
          <w:szCs w:val="24"/>
        </w:rPr>
        <w:t>（1）一周内非乙方原因停水、停电造成停工累计超过8小时；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（2）不可抗力。</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.2.4 对于类似高考、法定节假日等可预见的可能对安装调试有影响的特殊期间，乙方应预先做出安排，且工期不因有关部门采取限制措施而顺延，因此影响的费用由乙方自理。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.2.5 未经甲方书面确认，由于乙方安装、调试工期延误，影响甲方正常生产经营的，由乙方承担甲方全部损失。</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 安装、调试</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.3.1 乙方应当严格按照约定以及国家、省、市有关现行规范完成设备安装、调试工作。</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.3.2 乙方承担安装、调试期间安全保卫工作及安装照明等工作并承担由此产生的一切费用。安装、调试期间发生的一切安全事故、违法违规事件，均由乙方负责处理并承担相应的责任和费用。</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.3.3 乙方全权负责其劳务及职员的雇佣、工资的支付，住宿、膳食及运输等安排。乙方在任何时候均应采取一切合理的预防措施，以防止其职员发生任何违法或妨害治安的行为，并且保护工程附近的个人或财产免遭上述行为的破坏。本合同专门条款另有约定的从其约定。</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.3.4 乙方负责设备安装调试工程全部档案资料的汇总、整理、归档，并在安装、调试完成后移交给甲方。</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.3.5 乙方经甲方批准后可在安装现场铺设临时设施，但必须在安装结束后负责清除完毕。由于乙方原因引起工期延长，造成临时设施影响甲方正常经营的，增加的费用由乙方负责。</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.3.6 安装所需的工具由乙方提供并自行运输至安装现场，该费用由乙方承担。在安装结束后，乙方应当按照甲方的要求，将乙方的工具搬出安装现场并拆除临时设施。安装调试结束前，乙方负责安装现场的卫生清理，并按甲方的要求堆放垃圾。</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.4 试运行</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.4.1 试运行阶段为自乙方完成设备安装调试并通知甲方进入试运行阶段之日起算。</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.4.2 试运行阶段由甲方指定人员与乙方人员共同操作设备。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.5 培训</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.5.1自乙方安装、调试完毕之日起至最终验收合格之日止，乙方须完成对甲方工作人员的培训工作，包括但不限于设备使用方法、设备的保养等。</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.6 地点</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.6.1 设备交付、安装调试、培训的地点由双方在本合同专用条款中约定，如专用条款没有约定，则设备交付、安装调试、培训的地点均为</w:t>
      </w:r>
      <w:r>
        <w:rPr>
          <w:rFonts w:hint="eastAsia" w:ascii="宋体" w:hAnsi="宋体" w:eastAsia="宋体" w:cs="宋体"/>
          <w:sz w:val="24"/>
          <w:szCs w:val="24"/>
          <w:u w:val="single"/>
        </w:rPr>
        <w:t>甲方该项目住所地</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.7 其他</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.7.1 甲方应确保现场条件满足合同设备调试的要求，在调试时，提供必要的协助和工作条件。</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.7.2 在乙方将货物运至指定交货地点后，甲方应及时收货并卸货。</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.7.3 试运行结束后，甲方应按照设备的《安装、操作手册》等产品说明或该设备通用的操作规程进行操作，并做好日常保养。</w:t>
      </w:r>
    </w:p>
    <w:p>
      <w:pPr>
        <w:spacing w:line="360" w:lineRule="auto"/>
        <w:outlineLvl w:val="0"/>
        <w:rPr>
          <w:rFonts w:hint="eastAsia" w:ascii="宋体" w:hAnsi="宋体" w:eastAsia="宋体" w:cs="宋体"/>
          <w:b/>
          <w:sz w:val="24"/>
          <w:szCs w:val="24"/>
        </w:rPr>
      </w:pPr>
      <w:bookmarkStart w:id="172" w:name="_Toc9469"/>
      <w:bookmarkStart w:id="173" w:name="_Toc7229"/>
      <w:bookmarkStart w:id="174" w:name="_Toc21991"/>
      <w:r>
        <w:rPr>
          <w:rFonts w:hint="eastAsia" w:ascii="宋体" w:hAnsi="宋体" w:eastAsia="宋体" w:cs="宋体"/>
          <w:b/>
          <w:sz w:val="24"/>
          <w:szCs w:val="24"/>
          <w:lang w:val="en-US"/>
        </w:rPr>
        <w:t>10</w:t>
      </w:r>
      <w:r>
        <w:rPr>
          <w:rFonts w:hint="eastAsia" w:ascii="宋体" w:hAnsi="宋体" w:eastAsia="宋体" w:cs="宋体"/>
          <w:b/>
          <w:sz w:val="24"/>
          <w:szCs w:val="24"/>
        </w:rPr>
        <w:t>.设备验收</w:t>
      </w:r>
      <w:bookmarkEnd w:id="172"/>
      <w:bookmarkEnd w:id="173"/>
      <w:bookmarkEnd w:id="174"/>
    </w:p>
    <w:p>
      <w:p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rPr>
        <w:t>10</w:t>
      </w:r>
      <w:r>
        <w:rPr>
          <w:rFonts w:hint="eastAsia" w:ascii="宋体" w:hAnsi="宋体" w:eastAsia="宋体" w:cs="宋体"/>
          <w:bCs/>
          <w:sz w:val="24"/>
          <w:szCs w:val="24"/>
        </w:rPr>
        <w:t>.1 开箱验收</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bCs/>
          <w:sz w:val="24"/>
          <w:szCs w:val="24"/>
        </w:rPr>
        <w:t>.1.1 乙</w:t>
      </w:r>
      <w:r>
        <w:rPr>
          <w:rFonts w:hint="eastAsia" w:ascii="宋体" w:hAnsi="宋体" w:eastAsia="宋体" w:cs="宋体"/>
          <w:sz w:val="24"/>
          <w:szCs w:val="24"/>
        </w:rPr>
        <w:t>方将设备运抵交付地点当日，乙方应通知甲方对合同设备的外观、型号、数量进行开箱检验，并配合甲方在七日内完成开箱检验。双方就上述内容情况制作开箱检验记录，并予以书面确认。</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.1.2 在开箱检验中如发现设备、应该附带的配件工具、文件资料等有缺、错、损坏的，由乙方在甲方规定的时间内更换或补足。</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.1.3 该检验仅为初步检验，不作为最终质量验收合格的依据，不属于法律意义上的交付。</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.1.4 如乙方提前到货，则甲方有权暂不予接收。如甲方接收设备，亦不承担设备的保管责任，甲方不对乙方已交付设备承担毁损、灭失的风险。</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.2 最终验收</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.2.1 甲方应在试运行结束前组织验收，甲方有权委托专业的第三方负责或参加验收事宜，乙方应当配合甲方及第三方的验收工作。本合同专门条款另有约定的从其约定。</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.2.2 设备的安装、调试未通过甲方或政府部门验收（如有），则乙方应当负责整改直至通过甲方和政府部门验收（如有）。整改费用由乙方承担。如乙方拒绝整改的，甲方有权另请第三方整改，由此发生的整改费用从未付货款中直接扣除，不足部分甲方有权向乙方追偿。</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.2.3 设备经安装、调试完毕起至试运行结束前，由甲乙双方根据本协议约定的质量要求及技术指标对设备进行质量验收，并予以书面确认；验收应当在本合同专用条款约定的期限内完成。经前述验收合格后甲乙双方应及时办理设备的正式移交手续，并由甲方书面确认作为设备的正式交付。</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 xml:space="preserve">.2.4 </w:t>
      </w:r>
      <w:r>
        <w:rPr>
          <w:rFonts w:hint="eastAsia" w:ascii="宋体" w:hAnsi="宋体" w:eastAsia="宋体" w:cs="宋体"/>
          <w:kern w:val="0"/>
          <w:sz w:val="24"/>
          <w:szCs w:val="24"/>
        </w:rPr>
        <w:t>乙方负责设备的安装、调试工作，乙方安装、调试的工作必须在约定的时间内完成</w:t>
      </w:r>
      <w:r>
        <w:rPr>
          <w:rFonts w:hint="eastAsia" w:ascii="宋体" w:hAnsi="宋体" w:eastAsia="宋体" w:cs="宋体"/>
          <w:sz w:val="24"/>
          <w:szCs w:val="24"/>
        </w:rPr>
        <w:t>；完成须经甲方书面确认。本合同专门条款另有约定的从其约定。</w:t>
      </w:r>
    </w:p>
    <w:p>
      <w:pPr>
        <w:spacing w:line="360" w:lineRule="auto"/>
        <w:rPr>
          <w:rFonts w:hint="eastAsia" w:ascii="宋体" w:hAnsi="宋体" w:eastAsia="宋体" w:cs="宋体"/>
          <w:sz w:val="24"/>
          <w:szCs w:val="24"/>
        </w:rPr>
      </w:pPr>
      <w:r>
        <w:rPr>
          <w:rFonts w:hint="eastAsia" w:ascii="宋体" w:hAnsi="宋体" w:eastAsia="宋体" w:cs="宋体"/>
          <w:bCs/>
          <w:sz w:val="24"/>
          <w:szCs w:val="24"/>
          <w:lang w:val="en-US"/>
        </w:rPr>
        <w:t>10</w:t>
      </w:r>
      <w:r>
        <w:rPr>
          <w:rFonts w:hint="eastAsia" w:ascii="宋体" w:hAnsi="宋体" w:eastAsia="宋体" w:cs="宋体"/>
          <w:sz w:val="24"/>
          <w:szCs w:val="24"/>
        </w:rPr>
        <w:t>.4 自乙方安装、调试完毕之日起至最终验收合格之日止，</w:t>
      </w:r>
      <w:r>
        <w:rPr>
          <w:rFonts w:hint="eastAsia" w:ascii="宋体" w:hAnsi="宋体" w:eastAsia="宋体" w:cs="宋体"/>
          <w:kern w:val="0"/>
          <w:sz w:val="24"/>
          <w:szCs w:val="24"/>
        </w:rPr>
        <w:t>由乙方须完成</w:t>
      </w:r>
      <w:r>
        <w:rPr>
          <w:rFonts w:hint="eastAsia" w:ascii="宋体" w:hAnsi="宋体" w:eastAsia="宋体" w:cs="宋体"/>
          <w:sz w:val="24"/>
          <w:szCs w:val="24"/>
        </w:rPr>
        <w:t>对甲方工作人员进行使用及保养的培训，培训标准要求以甲方工作人员熟练使用和日常维护本设备为最低限度。本合同专门条款另有约定的从其约定。</w:t>
      </w:r>
    </w:p>
    <w:p>
      <w:pPr>
        <w:spacing w:line="360" w:lineRule="auto"/>
        <w:outlineLvl w:val="0"/>
        <w:rPr>
          <w:rFonts w:hint="eastAsia" w:ascii="宋体" w:hAnsi="宋体" w:eastAsia="宋体" w:cs="宋体"/>
          <w:sz w:val="24"/>
          <w:szCs w:val="24"/>
        </w:rPr>
      </w:pPr>
      <w:bookmarkStart w:id="175" w:name="_Toc26933"/>
      <w:bookmarkStart w:id="176" w:name="_Toc24675"/>
      <w:bookmarkStart w:id="177" w:name="_Toc5926"/>
      <w:r>
        <w:rPr>
          <w:rFonts w:hint="eastAsia" w:ascii="宋体" w:hAnsi="宋体" w:eastAsia="宋体" w:cs="宋体"/>
          <w:b/>
          <w:sz w:val="24"/>
          <w:szCs w:val="24"/>
          <w:lang w:val="en-US"/>
        </w:rPr>
        <w:t>11</w:t>
      </w:r>
      <w:r>
        <w:rPr>
          <w:rFonts w:hint="eastAsia" w:ascii="宋体" w:hAnsi="宋体" w:eastAsia="宋体" w:cs="宋体"/>
          <w:b/>
          <w:sz w:val="24"/>
          <w:szCs w:val="24"/>
        </w:rPr>
        <w:t>.质量保证期</w:t>
      </w:r>
      <w:r>
        <w:rPr>
          <w:rFonts w:hint="eastAsia" w:ascii="宋体" w:hAnsi="宋体" w:eastAsia="宋体" w:cs="宋体"/>
          <w:sz w:val="24"/>
          <w:szCs w:val="24"/>
        </w:rPr>
        <w:t>（若有保修手册的，请注明并列为附件）</w:t>
      </w:r>
      <w:bookmarkEnd w:id="175"/>
      <w:bookmarkEnd w:id="176"/>
      <w:bookmarkEnd w:id="177"/>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.1 设备质量保证期为</w:t>
      </w:r>
      <w:r>
        <w:rPr>
          <w:rFonts w:hint="eastAsia" w:ascii="宋体" w:hAnsi="宋体" w:eastAsia="宋体" w:cs="宋体"/>
          <w:sz w:val="24"/>
          <w:szCs w:val="24"/>
          <w:u w:val="single"/>
        </w:rPr>
        <w:t>1</w:t>
      </w:r>
      <w:r>
        <w:rPr>
          <w:rFonts w:hint="eastAsia" w:ascii="宋体" w:hAnsi="宋体" w:eastAsia="宋体" w:cs="宋体"/>
          <w:sz w:val="24"/>
          <w:szCs w:val="24"/>
        </w:rPr>
        <w:t>年，自设备最终验收通过之日起算。本合同专门条款另有约定的从其约定。</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.2 在质量保证期内，设备出现质量问题，乙方必须及时免费维修，并应按甲方要求免费为其更换部件或修理且承担相应费用；若设备三次以上（包括三次）出现同类质量问题，或同一质量问题乙方在15日以内仍未解决的，或出现其他影响设备使用目的的重大质量问题的，甲方有权要求乙方对本次有问题部件全部进行免费更换。</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.3 乙方收到甲方的维修通知后，并应在12小时内与甲方人员及时联系，48小时内赶到设备安装地进行维修，若乙方未在约定的时间响应的，甲方可自行采取补救措施，甲方采取补救措施的费用和因此给甲方造成的所有损失全部由乙方承担。</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.4 质保期以后该设备出现故障或毁损，如甲方要求乙方负责维修或更换零部件的，乙方应当在收到甲方维修通知后按双方商定的时间赶到设备安装地进行维修；乙方可以收取合理的维修和更换设备零配件的费用。</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.5 质保期届满以后，设备因使用或外力作用产生故障，乙方有义务提供有偿维修服务。</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.6 质保期届满以后5年内，乙方保证该设备所需零部件等能够按签订合同时市场价正常供应。</w:t>
      </w:r>
    </w:p>
    <w:p>
      <w:pPr>
        <w:spacing w:line="360" w:lineRule="auto"/>
        <w:outlineLvl w:val="0"/>
        <w:rPr>
          <w:rFonts w:hint="eastAsia" w:ascii="宋体" w:hAnsi="宋体" w:eastAsia="宋体" w:cs="宋体"/>
          <w:b/>
          <w:bCs/>
          <w:sz w:val="24"/>
          <w:szCs w:val="24"/>
        </w:rPr>
      </w:pPr>
      <w:bookmarkStart w:id="178" w:name="_Toc7489"/>
      <w:bookmarkStart w:id="179" w:name="_Toc19886"/>
      <w:bookmarkStart w:id="180" w:name="_Toc7654"/>
      <w:r>
        <w:rPr>
          <w:rFonts w:hint="eastAsia" w:ascii="宋体" w:hAnsi="宋体" w:eastAsia="宋体" w:cs="宋体"/>
          <w:b/>
          <w:bCs/>
          <w:sz w:val="24"/>
          <w:szCs w:val="24"/>
          <w:lang w:val="en-US"/>
        </w:rPr>
        <w:t>12</w:t>
      </w:r>
      <w:r>
        <w:rPr>
          <w:rFonts w:hint="eastAsia" w:ascii="宋体" w:hAnsi="宋体" w:eastAsia="宋体" w:cs="宋体"/>
          <w:b/>
          <w:bCs/>
          <w:sz w:val="24"/>
          <w:szCs w:val="24"/>
        </w:rPr>
        <w:t>.知识产权</w:t>
      </w:r>
      <w:bookmarkEnd w:id="178"/>
      <w:bookmarkEnd w:id="179"/>
      <w:bookmarkEnd w:id="180"/>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12</w:t>
      </w:r>
      <w:r>
        <w:rPr>
          <w:rFonts w:hint="eastAsia" w:ascii="宋体" w:hAnsi="宋体" w:eastAsia="宋体" w:cs="宋体"/>
          <w:sz w:val="24"/>
          <w:szCs w:val="24"/>
        </w:rPr>
        <w:t>.1 乙方保证享有所提供设备所需的完整知识产权，并保证甲方对设备的使用、转售不会侵犯任何第三方知识产权。</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12</w:t>
      </w:r>
      <w:r>
        <w:rPr>
          <w:rFonts w:hint="eastAsia" w:ascii="宋体" w:hAnsi="宋体" w:eastAsia="宋体" w:cs="宋体"/>
          <w:sz w:val="24"/>
          <w:szCs w:val="24"/>
        </w:rPr>
        <w:t>.2 该设备如果包含软件或其他知识产权，则应视为软件及知识产权无限期的许可甲方配合该设备使用（费用已经包含在合同价款中）。</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12</w:t>
      </w:r>
      <w:r>
        <w:rPr>
          <w:rFonts w:hint="eastAsia" w:ascii="宋体" w:hAnsi="宋体" w:eastAsia="宋体" w:cs="宋体"/>
          <w:sz w:val="24"/>
          <w:szCs w:val="24"/>
        </w:rPr>
        <w:t>.3 由于设备以及相关零部件产生的知识产权侵权责任，全部由乙方承担。</w:t>
      </w:r>
    </w:p>
    <w:p>
      <w:pPr>
        <w:pStyle w:val="3"/>
        <w:spacing w:line="360" w:lineRule="auto"/>
        <w:rPr>
          <w:rFonts w:hint="eastAsia" w:ascii="宋体" w:hAnsi="宋体" w:eastAsia="宋体" w:cs="宋体"/>
          <w:sz w:val="24"/>
          <w:szCs w:val="24"/>
          <w:lang w:val="en-US" w:eastAsia="zh-CN"/>
        </w:rPr>
      </w:pPr>
      <w:bookmarkStart w:id="181" w:name="_Toc6663"/>
      <w:bookmarkStart w:id="182" w:name="_Toc19445"/>
      <w:bookmarkStart w:id="183" w:name="_Toc22754"/>
      <w:r>
        <w:rPr>
          <w:rFonts w:hint="eastAsia" w:ascii="宋体" w:hAnsi="宋体" w:eastAsia="宋体" w:cs="宋体"/>
          <w:sz w:val="24"/>
          <w:szCs w:val="24"/>
          <w:lang w:val="en-US" w:eastAsia="zh-CN"/>
        </w:rPr>
        <w:t>13.工厂验收（FAT）要求</w:t>
      </w:r>
      <w:bookmarkEnd w:id="181"/>
      <w:bookmarkEnd w:id="182"/>
      <w:bookmarkEnd w:id="183"/>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13.1 供应商根据本 URS 内容完成各项确认工作，确保设计符合所有的 URS 要求，最终的设计须经用户确认并批准。</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13.2 供应商负责编写设备的FAT文件，经用户确认后，负责实施。</w:t>
      </w:r>
    </w:p>
    <w:p>
      <w:pPr>
        <w:pStyle w:val="3"/>
        <w:spacing w:line="360" w:lineRule="auto"/>
        <w:rPr>
          <w:rFonts w:hint="eastAsia" w:ascii="宋体" w:hAnsi="宋体" w:eastAsia="宋体" w:cs="宋体"/>
          <w:sz w:val="24"/>
          <w:szCs w:val="24"/>
          <w:lang w:val="en-US" w:eastAsia="zh-CN"/>
        </w:rPr>
      </w:pPr>
      <w:bookmarkStart w:id="184" w:name="_Toc24641"/>
      <w:bookmarkStart w:id="185" w:name="_Toc19525"/>
      <w:bookmarkStart w:id="186" w:name="_Toc28199"/>
      <w:r>
        <w:rPr>
          <w:rFonts w:hint="eastAsia" w:ascii="宋体" w:hAnsi="宋体" w:eastAsia="宋体" w:cs="宋体"/>
          <w:sz w:val="24"/>
          <w:szCs w:val="24"/>
          <w:lang w:val="en-US" w:eastAsia="zh-CN"/>
        </w:rPr>
        <w:t>14.供应商要求</w:t>
      </w:r>
      <w:bookmarkEnd w:id="184"/>
      <w:bookmarkEnd w:id="185"/>
      <w:bookmarkEnd w:id="186"/>
    </w:p>
    <w:p>
      <w:pPr>
        <w:pStyle w:val="15"/>
        <w:spacing w:line="360" w:lineRule="auto"/>
        <w:ind w:firstLine="373"/>
        <w:rPr>
          <w:rFonts w:hint="eastAsia" w:ascii="宋体" w:hAnsi="宋体" w:eastAsia="宋体" w:cs="宋体"/>
          <w:color w:val="auto"/>
          <w:sz w:val="24"/>
          <w:szCs w:val="24"/>
        </w:rPr>
      </w:pPr>
      <w:r>
        <w:rPr>
          <w:rFonts w:hint="eastAsia" w:ascii="宋体" w:hAnsi="宋体" w:eastAsia="宋体" w:cs="宋体"/>
          <w:color w:val="auto"/>
          <w:sz w:val="24"/>
          <w:szCs w:val="24"/>
        </w:rPr>
        <w:t>14.1本次招标接受联合体投标，联合体投标的，应满足下列要求：</w:t>
      </w:r>
    </w:p>
    <w:p>
      <w:pPr>
        <w:pStyle w:val="15"/>
        <w:spacing w:line="360" w:lineRule="auto"/>
        <w:ind w:firstLine="373"/>
        <w:rPr>
          <w:rFonts w:hint="eastAsia" w:ascii="宋体" w:hAnsi="宋体" w:eastAsia="宋体" w:cs="宋体"/>
          <w:color w:val="auto"/>
          <w:sz w:val="24"/>
          <w:szCs w:val="24"/>
        </w:rPr>
      </w:pPr>
      <w:r>
        <w:rPr>
          <w:rFonts w:hint="eastAsia" w:ascii="宋体" w:hAnsi="宋体" w:eastAsia="宋体" w:cs="宋体"/>
          <w:color w:val="auto"/>
          <w:sz w:val="24"/>
          <w:szCs w:val="24"/>
        </w:rPr>
        <w:t>①联合体最多允许2家单位组成。</w:t>
      </w:r>
    </w:p>
    <w:p>
      <w:pPr>
        <w:pStyle w:val="15"/>
        <w:spacing w:line="360" w:lineRule="auto"/>
        <w:ind w:firstLine="373"/>
        <w:rPr>
          <w:rFonts w:hint="eastAsia" w:ascii="宋体" w:hAnsi="宋体" w:eastAsia="宋体" w:cs="宋体"/>
          <w:color w:val="auto"/>
          <w:sz w:val="24"/>
          <w:szCs w:val="24"/>
        </w:rPr>
      </w:pPr>
      <w:r>
        <w:rPr>
          <w:rFonts w:hint="eastAsia" w:ascii="宋体" w:hAnsi="宋体" w:eastAsia="宋体" w:cs="宋体"/>
          <w:color w:val="auto"/>
          <w:sz w:val="24"/>
          <w:szCs w:val="24"/>
        </w:rPr>
        <w:t>②联合体应具有生产此类设备或安装调试设备的资质资格条件。</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14.2 必须具备生产此设备的能力且技术成熟。</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14.3 本URS作为合同的补充条款，作为到货验收的依据。</w:t>
      </w:r>
    </w:p>
    <w:bookmarkEnd w:id="155"/>
    <w:bookmarkEnd w:id="156"/>
    <w:bookmarkEnd w:id="157"/>
    <w:bookmarkEnd w:id="158"/>
    <w:bookmarkEnd w:id="159"/>
    <w:bookmarkEnd w:id="160"/>
    <w:p>
      <w:pPr>
        <w:spacing w:line="360" w:lineRule="auto"/>
        <w:rPr>
          <w:rFonts w:hint="eastAsia"/>
          <w:lang w:val="en-US"/>
        </w:rPr>
      </w:pPr>
    </w:p>
    <w:p>
      <w:pPr>
        <w:spacing w:before="114" w:line="360" w:lineRule="auto"/>
        <w:jc w:val="center"/>
        <w:outlineLvl w:val="0"/>
        <w:rPr>
          <w:rFonts w:ascii="宋体" w:hAnsi="宋体" w:eastAsia="宋体" w:cs="宋体"/>
          <w:spacing w:val="12"/>
          <w:sz w:val="35"/>
          <w:szCs w:val="35"/>
          <w14:textOutline w14:w="6537" w14:cap="sq" w14:cmpd="sng">
            <w14:solidFill>
              <w14:srgbClr w14:val="000000"/>
            </w14:solidFill>
            <w14:prstDash w14:val="solid"/>
            <w14:bevel/>
          </w14:textOutline>
        </w:rPr>
      </w:pPr>
    </w:p>
    <w:p>
      <w:pPr>
        <w:spacing w:before="114" w:line="360" w:lineRule="auto"/>
        <w:jc w:val="both"/>
        <w:outlineLvl w:val="0"/>
        <w:rPr>
          <w:rFonts w:ascii="宋体" w:hAnsi="宋体" w:eastAsia="宋体" w:cs="宋体"/>
          <w:spacing w:val="12"/>
          <w:sz w:val="35"/>
          <w:szCs w:val="35"/>
          <w14:textOutline w14:w="6537" w14:cap="sq" w14:cmpd="sng">
            <w14:solidFill>
              <w14:srgbClr w14:val="000000"/>
            </w14:solidFill>
            <w14:prstDash w14:val="solid"/>
            <w14:bevel/>
          </w14:textOutline>
        </w:rPr>
      </w:pPr>
    </w:p>
    <w:p>
      <w:pPr>
        <w:rPr>
          <w:rFonts w:ascii="宋体" w:hAnsi="宋体" w:eastAsia="宋体" w:cs="宋体"/>
          <w:spacing w:val="12"/>
          <w:sz w:val="35"/>
          <w:szCs w:val="35"/>
          <w14:textOutline w14:w="6537" w14:cap="sq" w14:cmpd="sng">
            <w14:solidFill>
              <w14:srgbClr w14:val="000000"/>
            </w14:solidFill>
            <w14:prstDash w14:val="solid"/>
            <w14:bevel/>
          </w14:textOutline>
        </w:rPr>
      </w:pPr>
      <w:r>
        <w:rPr>
          <w:rFonts w:ascii="宋体" w:hAnsi="宋体" w:eastAsia="宋体" w:cs="宋体"/>
          <w:spacing w:val="12"/>
          <w:sz w:val="35"/>
          <w:szCs w:val="35"/>
          <w14:textOutline w14:w="6537" w14:cap="sq" w14:cmpd="sng">
            <w14:solidFill>
              <w14:srgbClr w14:val="000000"/>
            </w14:solidFill>
            <w14:prstDash w14:val="solid"/>
            <w14:bevel/>
          </w14:textOutline>
        </w:rPr>
        <w:br w:type="page"/>
      </w:r>
    </w:p>
    <w:p>
      <w:pPr>
        <w:spacing w:before="114" w:line="360" w:lineRule="auto"/>
        <w:jc w:val="center"/>
        <w:outlineLvl w:val="0"/>
        <w:rPr>
          <w:rFonts w:ascii="宋体" w:hAnsi="宋体" w:eastAsia="宋体" w:cs="宋体"/>
          <w:sz w:val="35"/>
          <w:szCs w:val="35"/>
        </w:rPr>
      </w:pPr>
      <w:bookmarkStart w:id="187" w:name="_Toc32727"/>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hint="eastAsia" w:ascii="宋体" w:hAnsi="宋体" w:eastAsia="宋体" w:cs="宋体"/>
          <w:spacing w:val="12"/>
          <w:sz w:val="35"/>
          <w:szCs w:val="35"/>
          <w:lang w:val="en-US" w:eastAsia="zh-CN"/>
          <w14:textOutline w14:w="6537" w14:cap="sq" w14:cmpd="sng">
            <w14:solidFill>
              <w14:srgbClr w14:val="000000"/>
            </w14:solidFill>
            <w14:prstDash w14:val="solid"/>
            <w14:bevel/>
          </w14:textOutline>
        </w:rPr>
        <w:t>四</w:t>
      </w:r>
      <w:r>
        <w:rPr>
          <w:rFonts w:ascii="宋体" w:hAnsi="宋体" w:eastAsia="宋体" w:cs="宋体"/>
          <w:spacing w:val="8"/>
          <w:sz w:val="35"/>
          <w:szCs w:val="35"/>
          <w14:textOutline w14:w="6537" w14:cap="sq" w14:cmpd="sng">
            <w14:solidFill>
              <w14:srgbClr w14:val="000000"/>
            </w14:solidFill>
            <w14:prstDash w14:val="solid"/>
            <w14:bevel/>
          </w14:textOutline>
        </w:rPr>
        <w:t>章</w:t>
      </w:r>
      <w:r>
        <w:rPr>
          <w:rFonts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合同条款及格式</w:t>
      </w:r>
      <w:bookmarkEnd w:id="187"/>
    </w:p>
    <w:p>
      <w:pPr>
        <w:wordWrap w:val="0"/>
        <w:spacing w:line="360" w:lineRule="auto"/>
        <w:jc w:val="center"/>
        <w:outlineLvl w:val="0"/>
        <w:rPr>
          <w:rFonts w:ascii="宋体" w:hAnsi="宋体"/>
          <w:b/>
          <w:szCs w:val="21"/>
        </w:rPr>
      </w:pPr>
      <w:r>
        <w:rPr>
          <w:rFonts w:hint="eastAsia" w:ascii="宋体" w:hAnsi="宋体"/>
          <w:b/>
          <w:szCs w:val="21"/>
        </w:rPr>
        <w:t xml:space="preserve">                                               </w:t>
      </w:r>
      <w:bookmarkStart w:id="188" w:name="_Toc3362"/>
      <w:bookmarkStart w:id="189" w:name="_Toc10685"/>
      <w:r>
        <w:rPr>
          <w:rFonts w:hint="eastAsia" w:ascii="宋体" w:hAnsi="宋体"/>
          <w:b/>
          <w:szCs w:val="21"/>
        </w:rPr>
        <w:t>合同编号:</w:t>
      </w:r>
      <w:bookmarkEnd w:id="188"/>
      <w:bookmarkEnd w:id="189"/>
    </w:p>
    <w:p>
      <w:pPr>
        <w:spacing w:line="360" w:lineRule="auto"/>
        <w:rPr>
          <w:rFonts w:hint="eastAsia" w:ascii="宋体" w:hAnsi="宋体"/>
          <w:b/>
          <w:sz w:val="44"/>
          <w:szCs w:val="44"/>
        </w:rPr>
      </w:pPr>
    </w:p>
    <w:p>
      <w:pPr>
        <w:pStyle w:val="6"/>
        <w:spacing w:line="360" w:lineRule="auto"/>
        <w:ind w:firstLine="883"/>
        <w:jc w:val="center"/>
        <w:rPr>
          <w:rFonts w:hint="eastAsia" w:hAnsi="宋体"/>
          <w:b/>
          <w:sz w:val="44"/>
          <w:szCs w:val="44"/>
          <w:lang w:eastAsia="zh-CN"/>
        </w:rPr>
      </w:pPr>
      <w:r>
        <w:rPr>
          <w:rFonts w:hint="eastAsia" w:hAnsi="宋体"/>
          <w:b/>
          <w:sz w:val="44"/>
          <w:szCs w:val="44"/>
          <w:lang w:eastAsia="zh-CN"/>
        </w:rPr>
        <w:t>清真牛羊肉精深加工与清真预制菜加工项目</w:t>
      </w:r>
    </w:p>
    <w:p>
      <w:pPr>
        <w:pStyle w:val="6"/>
        <w:spacing w:line="520" w:lineRule="exact"/>
        <w:ind w:left="0" w:leftChars="0" w:firstLine="0" w:firstLineChars="0"/>
        <w:jc w:val="both"/>
        <w:rPr>
          <w:rFonts w:hint="eastAsia" w:hAnsi="宋体"/>
          <w:b/>
          <w:sz w:val="40"/>
          <w:szCs w:val="40"/>
          <w:lang w:eastAsia="zh-CN"/>
        </w:rPr>
      </w:pPr>
    </w:p>
    <w:p>
      <w:pPr>
        <w:pStyle w:val="6"/>
        <w:spacing w:line="520" w:lineRule="exact"/>
        <w:ind w:left="0" w:leftChars="0" w:firstLine="0" w:firstLineChars="0"/>
        <w:jc w:val="center"/>
        <w:rPr>
          <w:rStyle w:val="30"/>
          <w:rFonts w:ascii="Arial" w:hAnsi="Arial" w:cs="Arial"/>
          <w:b/>
          <w:sz w:val="40"/>
          <w:szCs w:val="40"/>
        </w:rPr>
      </w:pPr>
      <w:r>
        <w:rPr>
          <w:rFonts w:hint="eastAsia" w:hAnsi="宋体"/>
          <w:b/>
          <w:sz w:val="40"/>
          <w:szCs w:val="40"/>
          <w:lang w:eastAsia="zh-CN"/>
        </w:rPr>
        <w:t>《</w:t>
      </w:r>
      <w:r>
        <w:rPr>
          <w:rFonts w:hint="eastAsia" w:hAnsi="宋体"/>
          <w:b/>
          <w:sz w:val="40"/>
          <w:szCs w:val="40"/>
          <w:lang w:val="en-US" w:eastAsia="zh-CN"/>
        </w:rPr>
        <w:t>污水处理成套设备采购合同</w:t>
      </w:r>
      <w:r>
        <w:rPr>
          <w:rFonts w:hint="eastAsia" w:hAnsi="宋体"/>
          <w:b/>
          <w:sz w:val="40"/>
          <w:szCs w:val="40"/>
          <w:lang w:eastAsia="zh-CN"/>
        </w:rPr>
        <w:t>》</w:t>
      </w:r>
    </w:p>
    <w:p>
      <w:pPr>
        <w:pStyle w:val="6"/>
        <w:spacing w:line="520" w:lineRule="exact"/>
        <w:ind w:firstLine="1044"/>
        <w:jc w:val="center"/>
        <w:rPr>
          <w:rStyle w:val="30"/>
          <w:rFonts w:ascii="Arial" w:hAnsi="Arial" w:cs="Arial"/>
          <w:b/>
          <w:sz w:val="52"/>
          <w:szCs w:val="44"/>
        </w:rPr>
      </w:pPr>
    </w:p>
    <w:p>
      <w:pPr>
        <w:pStyle w:val="6"/>
        <w:spacing w:line="520" w:lineRule="exact"/>
        <w:ind w:firstLine="1044"/>
        <w:jc w:val="center"/>
        <w:rPr>
          <w:rStyle w:val="30"/>
          <w:rFonts w:ascii="Arial" w:hAnsi="Arial" w:cs="Arial"/>
          <w:b/>
          <w:sz w:val="52"/>
          <w:szCs w:val="44"/>
        </w:rPr>
      </w:pPr>
    </w:p>
    <w:p>
      <w:pPr>
        <w:pStyle w:val="6"/>
        <w:spacing w:line="520" w:lineRule="exact"/>
        <w:ind w:firstLine="1044"/>
        <w:rPr>
          <w:rStyle w:val="30"/>
          <w:rFonts w:ascii="Arial" w:hAnsi="Arial" w:cs="Arial"/>
          <w:b/>
          <w:sz w:val="52"/>
          <w:szCs w:val="44"/>
        </w:rPr>
      </w:pPr>
    </w:p>
    <w:p>
      <w:pPr>
        <w:pStyle w:val="6"/>
        <w:spacing w:line="520" w:lineRule="exact"/>
        <w:ind w:firstLine="1044"/>
        <w:rPr>
          <w:rStyle w:val="30"/>
          <w:rFonts w:ascii="Arial" w:hAnsi="Arial" w:cs="Arial"/>
          <w:b/>
          <w:sz w:val="52"/>
          <w:szCs w:val="44"/>
        </w:rPr>
      </w:pPr>
    </w:p>
    <w:p>
      <w:pPr>
        <w:pStyle w:val="6"/>
        <w:spacing w:line="520" w:lineRule="exact"/>
        <w:ind w:firstLine="0" w:firstLineChars="0"/>
        <w:jc w:val="center"/>
        <w:rPr>
          <w:rStyle w:val="30"/>
          <w:rFonts w:hint="eastAsia" w:ascii="Arial" w:hAnsi="Arial" w:cs="Arial"/>
          <w:b/>
          <w:sz w:val="52"/>
          <w:szCs w:val="44"/>
        </w:rPr>
      </w:pPr>
      <w:r>
        <w:rPr>
          <w:rStyle w:val="30"/>
          <w:rFonts w:ascii="Arial" w:hAnsi="Arial" w:cs="Arial"/>
          <w:b/>
          <w:sz w:val="52"/>
          <w:szCs w:val="44"/>
        </w:rPr>
        <w:t>&lt;</w:t>
      </w:r>
      <w:r>
        <w:rPr>
          <w:rStyle w:val="30"/>
          <w:rFonts w:hint="eastAsia" w:ascii="Arial" w:hAnsi="Arial" w:cs="Arial"/>
          <w:b/>
          <w:sz w:val="52"/>
          <w:szCs w:val="44"/>
          <w:lang w:val="en-US" w:eastAsia="zh-CN"/>
        </w:rPr>
        <w:t>商务合同</w:t>
      </w:r>
      <w:r>
        <w:rPr>
          <w:rStyle w:val="30"/>
          <w:rFonts w:ascii="Arial" w:hAnsi="Arial" w:cs="Arial"/>
          <w:b/>
          <w:sz w:val="52"/>
          <w:szCs w:val="44"/>
        </w:rPr>
        <w:t>&gt;</w:t>
      </w:r>
    </w:p>
    <w:p>
      <w:pPr>
        <w:pStyle w:val="6"/>
        <w:spacing w:line="520" w:lineRule="exact"/>
        <w:ind w:firstLine="482"/>
        <w:jc w:val="left"/>
        <w:rPr>
          <w:rStyle w:val="30"/>
          <w:rFonts w:hAnsi="宋体" w:cs="宋体"/>
          <w:b/>
        </w:rPr>
      </w:pPr>
    </w:p>
    <w:p>
      <w:pPr>
        <w:pStyle w:val="6"/>
        <w:spacing w:line="520" w:lineRule="exact"/>
        <w:ind w:firstLine="482"/>
        <w:jc w:val="left"/>
        <w:rPr>
          <w:rStyle w:val="30"/>
          <w:rFonts w:hint="eastAsia" w:hAnsi="宋体" w:cs="宋体"/>
          <w:b/>
        </w:rPr>
      </w:pPr>
    </w:p>
    <w:p>
      <w:pPr>
        <w:pStyle w:val="6"/>
        <w:spacing w:line="520" w:lineRule="exact"/>
        <w:ind w:firstLine="482"/>
        <w:jc w:val="left"/>
        <w:rPr>
          <w:rStyle w:val="30"/>
          <w:rFonts w:hint="eastAsia" w:hAnsi="宋体" w:cs="宋体"/>
          <w:b/>
        </w:rPr>
      </w:pPr>
    </w:p>
    <w:p>
      <w:pPr>
        <w:spacing w:line="360" w:lineRule="auto"/>
        <w:jc w:val="center"/>
        <w:rPr>
          <w:rFonts w:hint="eastAsia" w:ascii="宋体" w:hAnsi="宋体" w:cs="宋体"/>
          <w:b/>
          <w:bCs/>
        </w:rPr>
      </w:pPr>
    </w:p>
    <w:p>
      <w:pPr>
        <w:spacing w:line="360" w:lineRule="auto"/>
        <w:jc w:val="center"/>
        <w:outlineLvl w:val="0"/>
        <w:rPr>
          <w:rFonts w:hint="eastAsia" w:ascii="宋体" w:hAnsi="宋体" w:cs="宋体"/>
          <w:b/>
          <w:bCs/>
          <w:sz w:val="28"/>
          <w:szCs w:val="28"/>
        </w:rPr>
      </w:pPr>
      <w:bookmarkStart w:id="190" w:name="_Toc11894"/>
      <w:bookmarkStart w:id="191" w:name="_Toc21723"/>
      <w:r>
        <w:rPr>
          <w:rStyle w:val="30"/>
          <w:rFonts w:hint="eastAsia" w:ascii="宋体" w:hAnsi="宋体" w:cs="宋体"/>
          <w:b/>
          <w:sz w:val="28"/>
          <w:szCs w:val="28"/>
        </w:rPr>
        <w:t>甲方</w:t>
      </w:r>
      <w:r>
        <w:rPr>
          <w:rFonts w:hint="eastAsia" w:ascii="宋体" w:hAnsi="宋体" w:cs="宋体"/>
          <w:b/>
          <w:bCs/>
          <w:sz w:val="28"/>
          <w:szCs w:val="28"/>
        </w:rPr>
        <w:t>：川楚联合国际工程有限公司</w:t>
      </w:r>
      <w:bookmarkEnd w:id="190"/>
      <w:bookmarkEnd w:id="191"/>
    </w:p>
    <w:p>
      <w:pPr>
        <w:spacing w:line="360" w:lineRule="auto"/>
        <w:ind w:firstLine="2241" w:firstLineChars="800"/>
        <w:jc w:val="both"/>
        <w:outlineLvl w:val="0"/>
        <w:rPr>
          <w:rFonts w:hint="default" w:ascii="宋体" w:hAnsi="宋体" w:eastAsia="宋体" w:cs="宋体"/>
          <w:b/>
          <w:bCs/>
          <w:sz w:val="28"/>
          <w:szCs w:val="28"/>
          <w:lang w:val="en-US" w:eastAsia="zh-CN"/>
        </w:rPr>
      </w:pPr>
      <w:r>
        <w:rPr>
          <w:rStyle w:val="30"/>
          <w:rFonts w:hint="eastAsia" w:ascii="宋体" w:hAnsi="宋体" w:cs="宋体"/>
          <w:b/>
          <w:sz w:val="28"/>
          <w:szCs w:val="28"/>
        </w:rPr>
        <w:t xml:space="preserve">  </w:t>
      </w:r>
      <w:bookmarkStart w:id="192" w:name="_Toc1749"/>
      <w:bookmarkStart w:id="193" w:name="_Toc18435"/>
      <w:r>
        <w:rPr>
          <w:rStyle w:val="30"/>
          <w:rFonts w:hint="eastAsia" w:ascii="宋体" w:hAnsi="宋体" w:cs="宋体"/>
          <w:b/>
          <w:sz w:val="28"/>
          <w:szCs w:val="28"/>
        </w:rPr>
        <w:t>乙方</w:t>
      </w:r>
      <w:r>
        <w:rPr>
          <w:rFonts w:hint="eastAsia" w:ascii="宋体" w:hAnsi="宋体" w:cs="宋体"/>
          <w:b/>
          <w:bCs/>
          <w:sz w:val="28"/>
          <w:szCs w:val="28"/>
        </w:rPr>
        <w:t>：</w:t>
      </w:r>
      <w:bookmarkEnd w:id="192"/>
      <w:bookmarkEnd w:id="193"/>
      <w:r>
        <w:rPr>
          <w:rFonts w:hint="eastAsia" w:ascii="宋体" w:hAnsi="宋体" w:eastAsia="宋体" w:cs="宋体"/>
          <w:b/>
          <w:bCs/>
          <w:sz w:val="28"/>
          <w:szCs w:val="28"/>
          <w:lang w:val="en-US" w:eastAsia="zh-CN"/>
        </w:rPr>
        <w:t xml:space="preserve">   </w:t>
      </w:r>
    </w:p>
    <w:p>
      <w:pPr>
        <w:ind w:firstLine="2801" w:firstLineChars="1000"/>
        <w:rPr>
          <w:rFonts w:hint="eastAsia" w:ascii="宋体" w:hAnsi="宋体" w:cs="宋体"/>
          <w:b/>
          <w:bCs/>
          <w:sz w:val="28"/>
          <w:szCs w:val="28"/>
        </w:rPr>
      </w:pPr>
      <w:r>
        <w:rPr>
          <w:rFonts w:hint="eastAsia" w:ascii="宋体" w:hAnsi="宋体" w:cs="宋体"/>
          <w:b/>
          <w:bCs/>
          <w:sz w:val="28"/>
          <w:szCs w:val="28"/>
        </w:rPr>
        <w:t>日期：</w:t>
      </w:r>
      <w:r>
        <w:rPr>
          <w:rFonts w:hint="eastAsia" w:ascii="宋体" w:hAnsi="宋体" w:cs="宋体"/>
          <w:b/>
          <w:bCs/>
          <w:sz w:val="28"/>
          <w:szCs w:val="28"/>
          <w:u w:val="single"/>
        </w:rPr>
        <w:t>2023</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spacing w:line="360" w:lineRule="auto"/>
        <w:ind w:right="131"/>
        <w:jc w:val="both"/>
        <w:rPr>
          <w:rFonts w:ascii="Arial" w:hAnsi="Arial" w:cs="Arial"/>
          <w:szCs w:val="21"/>
        </w:rPr>
      </w:pPr>
    </w:p>
    <w:p>
      <w:pPr>
        <w:spacing w:line="360" w:lineRule="auto"/>
        <w:ind w:right="131"/>
        <w:jc w:val="both"/>
        <w:rPr>
          <w:rFonts w:ascii="Arial" w:hAnsi="Arial" w:cs="Arial"/>
          <w:szCs w:val="21"/>
        </w:rPr>
      </w:pPr>
    </w:p>
    <w:p>
      <w:pPr>
        <w:spacing w:line="360" w:lineRule="auto"/>
        <w:ind w:right="131"/>
        <w:jc w:val="both"/>
        <w:rPr>
          <w:rFonts w:ascii="Arial" w:hAnsi="Arial" w:cs="Arial"/>
          <w:szCs w:val="21"/>
        </w:rPr>
      </w:pPr>
    </w:p>
    <w:p>
      <w:pPr>
        <w:spacing w:line="360" w:lineRule="auto"/>
        <w:ind w:right="131"/>
        <w:jc w:val="both"/>
        <w:rPr>
          <w:rFonts w:ascii="Arial" w:hAnsi="Arial" w:cs="Arial"/>
          <w:szCs w:val="21"/>
        </w:rPr>
      </w:pPr>
      <w:r>
        <w:rPr>
          <w:rFonts w:ascii="Arial" w:hAnsi="Arial" w:cs="Arial"/>
          <w:szCs w:val="21"/>
        </w:rPr>
        <w:t xml:space="preserve">                                   </w:t>
      </w:r>
    </w:p>
    <w:p>
      <w:pPr>
        <w:spacing w:line="360" w:lineRule="auto"/>
        <w:ind w:firstLine="480" w:firstLineChars="200"/>
        <w:rPr>
          <w:rFonts w:hint="eastAsia" w:ascii="仿宋" w:hAnsi="仿宋" w:eastAsia="仿宋" w:cs="仿宋"/>
          <w:sz w:val="24"/>
        </w:rPr>
        <w:sectPr>
          <w:headerReference r:id="rId13" w:type="default"/>
          <w:footerReference r:id="rId14" w:type="default"/>
          <w:footerReference r:id="rId15" w:type="even"/>
          <w:pgSz w:w="11906" w:h="16838"/>
          <w:pgMar w:top="1440" w:right="1286" w:bottom="1440" w:left="1260" w:header="57" w:footer="794" w:gutter="0"/>
          <w:pgNumType w:fmt="decimal"/>
          <w:cols w:space="720" w:num="1"/>
          <w:docGrid w:type="lines" w:linePitch="312" w:charSpace="0"/>
        </w:sect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本设备采购合同（以下简称“本合同”）由以下双方在中国</w:t>
      </w:r>
      <w:r>
        <w:rPr>
          <w:rFonts w:hint="eastAsia" w:ascii="宋体" w:hAnsi="宋体" w:eastAsia="宋体" w:cs="宋体"/>
          <w:sz w:val="24"/>
          <w:u w:val="single"/>
        </w:rPr>
        <w:t>四川省成都市高新区</w:t>
      </w:r>
      <w:r>
        <w:rPr>
          <w:rFonts w:hint="eastAsia" w:ascii="宋体" w:hAnsi="宋体" w:eastAsia="宋体" w:cs="宋体"/>
          <w:sz w:val="24"/>
        </w:rPr>
        <w:t>签订：</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甲方（买方）</w:t>
            </w:r>
          </w:p>
        </w:tc>
        <w:tc>
          <w:tcPr>
            <w:tcW w:w="2500" w:type="pct"/>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乙方（卖方）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名称：</w:t>
            </w:r>
            <w:r>
              <w:rPr>
                <w:rFonts w:hint="eastAsia" w:ascii="宋体" w:hAnsi="宋体" w:eastAsia="宋体" w:cs="宋体"/>
                <w:b/>
                <w:sz w:val="24"/>
              </w:rPr>
              <w:t>川楚联合国际工程有限公司</w:t>
            </w:r>
          </w:p>
        </w:tc>
        <w:tc>
          <w:tcPr>
            <w:tcW w:w="2500"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注册或主要办公地址：</w:t>
            </w:r>
            <w:r>
              <w:rPr>
                <w:rFonts w:hint="eastAsia" w:ascii="宋体" w:hAnsi="宋体" w:eastAsia="宋体" w:cs="宋体"/>
                <w:kern w:val="0"/>
                <w:sz w:val="24"/>
              </w:rPr>
              <w:t xml:space="preserve"> </w:t>
            </w:r>
            <w:r>
              <w:rPr>
                <w:rFonts w:hint="eastAsia" w:ascii="宋体" w:hAnsi="宋体" w:eastAsia="宋体" w:cs="宋体"/>
                <w:kern w:val="0"/>
                <w:sz w:val="24"/>
                <w:szCs w:val="24"/>
                <w:lang w:val="en-US" w:eastAsia="zh-CN"/>
              </w:rPr>
              <w:t xml:space="preserve">中国（四川）自由贸易试验区成都高新区交子大道88号2栋6楼603号 </w:t>
            </w:r>
          </w:p>
        </w:tc>
        <w:tc>
          <w:tcPr>
            <w:tcW w:w="2500" w:type="pct"/>
            <w:noWrap w:val="0"/>
            <w:vAlign w:val="top"/>
          </w:tcPr>
          <w:p>
            <w:pPr>
              <w:spacing w:line="360" w:lineRule="auto"/>
              <w:jc w:val="both"/>
              <w:rPr>
                <w:rFonts w:hint="eastAsia" w:ascii="宋体" w:hAnsi="宋体" w:eastAsia="宋体" w:cs="宋体"/>
                <w:sz w:val="24"/>
              </w:rPr>
            </w:pPr>
            <w:r>
              <w:rPr>
                <w:rFonts w:hint="eastAsia" w:ascii="宋体" w:hAnsi="宋体" w:eastAsia="宋体" w:cs="宋体"/>
                <w:sz w:val="24"/>
              </w:rPr>
              <w:t>注册或主要办公地址：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499"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授权代表： </w:t>
            </w:r>
          </w:p>
        </w:tc>
        <w:tc>
          <w:tcPr>
            <w:tcW w:w="2500" w:type="pct"/>
            <w:noWrap w:val="0"/>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99"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授权代表职务： </w:t>
            </w:r>
          </w:p>
        </w:tc>
        <w:tc>
          <w:tcPr>
            <w:tcW w:w="2500"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授权代表职务：</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甲乙双方经自愿、平等协商，根据</w:t>
      </w:r>
      <w:r>
        <w:rPr>
          <w:rFonts w:hint="eastAsia" w:ascii="宋体" w:hAnsi="宋体" w:eastAsia="宋体" w:cs="宋体"/>
          <w:color w:val="000000"/>
          <w:sz w:val="24"/>
        </w:rPr>
        <w:t>《中华人民共和国民法典》等相关法律法规，</w:t>
      </w:r>
      <w:r>
        <w:rPr>
          <w:rFonts w:hint="eastAsia" w:ascii="宋体" w:hAnsi="宋体" w:eastAsia="宋体" w:cs="宋体"/>
          <w:sz w:val="24"/>
        </w:rPr>
        <w:t>就</w:t>
      </w:r>
      <w:r>
        <w:rPr>
          <w:rFonts w:hint="eastAsia" w:ascii="宋体" w:hAnsi="宋体" w:eastAsia="宋体" w:cs="宋体"/>
          <w:sz w:val="24"/>
          <w:u w:val="single"/>
        </w:rPr>
        <w:t>甲方向乙方采购本合同所约定的设备（以下简称“设备”）</w:t>
      </w:r>
      <w:r>
        <w:rPr>
          <w:rFonts w:hint="eastAsia" w:ascii="宋体" w:hAnsi="宋体" w:eastAsia="宋体" w:cs="宋体"/>
          <w:sz w:val="24"/>
        </w:rPr>
        <w:t>事宜，达成如下协议，以资双方共同遵守。</w:t>
      </w:r>
    </w:p>
    <w:p>
      <w:pPr>
        <w:spacing w:line="360" w:lineRule="auto"/>
        <w:ind w:firstLine="480"/>
        <w:jc w:val="center"/>
        <w:outlineLvl w:val="0"/>
        <w:rPr>
          <w:rFonts w:hint="eastAsia" w:ascii="宋体" w:hAnsi="宋体" w:eastAsia="宋体" w:cs="宋体"/>
          <w:b/>
          <w:sz w:val="24"/>
        </w:rPr>
      </w:pPr>
      <w:bookmarkStart w:id="194" w:name="_Toc24532"/>
      <w:bookmarkStart w:id="195" w:name="_Toc1074"/>
      <w:r>
        <w:rPr>
          <w:rFonts w:hint="eastAsia" w:ascii="宋体" w:hAnsi="宋体" w:eastAsia="宋体" w:cs="宋体"/>
          <w:b/>
          <w:sz w:val="24"/>
        </w:rPr>
        <w:t>第一章  一般条款</w:t>
      </w:r>
      <w:bookmarkEnd w:id="194"/>
      <w:bookmarkEnd w:id="195"/>
    </w:p>
    <w:p>
      <w:pPr>
        <w:spacing w:line="360" w:lineRule="auto"/>
        <w:outlineLvl w:val="1"/>
        <w:rPr>
          <w:rFonts w:hint="eastAsia" w:ascii="宋体" w:hAnsi="宋体" w:eastAsia="宋体" w:cs="宋体"/>
          <w:b/>
          <w:sz w:val="24"/>
        </w:rPr>
      </w:pPr>
      <w:r>
        <w:rPr>
          <w:rFonts w:hint="eastAsia" w:ascii="宋体" w:hAnsi="宋体" w:eastAsia="宋体" w:cs="宋体"/>
          <w:b/>
          <w:sz w:val="24"/>
        </w:rPr>
        <w:t>1.定义</w:t>
      </w:r>
    </w:p>
    <w:p>
      <w:pPr>
        <w:spacing w:line="360" w:lineRule="auto"/>
        <w:ind w:left="425"/>
        <w:rPr>
          <w:rFonts w:hint="eastAsia" w:ascii="宋体" w:hAnsi="宋体" w:eastAsia="宋体" w:cs="宋体"/>
          <w:sz w:val="24"/>
        </w:rPr>
      </w:pPr>
      <w:r>
        <w:rPr>
          <w:rFonts w:hint="eastAsia" w:ascii="宋体" w:hAnsi="宋体" w:eastAsia="宋体" w:cs="宋体"/>
          <w:sz w:val="24"/>
        </w:rPr>
        <w:t>除非根据上下文另有解释，否则本合同中下列术语的含义如下：</w:t>
      </w:r>
    </w:p>
    <w:p>
      <w:pPr>
        <w:spacing w:line="360" w:lineRule="auto"/>
        <w:rPr>
          <w:rFonts w:hint="eastAsia" w:ascii="宋体" w:hAnsi="宋体" w:eastAsia="宋体" w:cs="宋体"/>
          <w:sz w:val="24"/>
        </w:rPr>
      </w:pPr>
      <w:r>
        <w:rPr>
          <w:rFonts w:hint="eastAsia" w:ascii="宋体" w:hAnsi="宋体" w:eastAsia="宋体" w:cs="宋体"/>
          <w:sz w:val="24"/>
        </w:rPr>
        <w:t>1.1 本合同：是指本合同正文及附件，以及双方基于本合同而签订的任何补充及修正文件。</w:t>
      </w:r>
    </w:p>
    <w:p>
      <w:pPr>
        <w:spacing w:line="360" w:lineRule="auto"/>
        <w:rPr>
          <w:rFonts w:hint="eastAsia" w:ascii="宋体" w:hAnsi="宋体" w:eastAsia="宋体" w:cs="宋体"/>
          <w:sz w:val="24"/>
        </w:rPr>
      </w:pPr>
      <w:r>
        <w:rPr>
          <w:rFonts w:hint="eastAsia" w:ascii="宋体" w:hAnsi="宋体" w:eastAsia="宋体" w:cs="宋体"/>
          <w:sz w:val="24"/>
        </w:rPr>
        <w:t>1.2 价款：是指根据合同约定，卖方在正确、完全履行合同义务后买方应付给卖方的价金。</w:t>
      </w:r>
    </w:p>
    <w:p>
      <w:pPr>
        <w:spacing w:line="360" w:lineRule="auto"/>
        <w:rPr>
          <w:rFonts w:hint="eastAsia" w:ascii="宋体" w:hAnsi="宋体" w:eastAsia="宋体" w:cs="宋体"/>
          <w:sz w:val="24"/>
        </w:rPr>
      </w:pPr>
      <w:r>
        <w:rPr>
          <w:rFonts w:hint="eastAsia" w:ascii="宋体" w:hAnsi="宋体" w:eastAsia="宋体" w:cs="宋体"/>
          <w:sz w:val="24"/>
        </w:rPr>
        <w:t>1.3 设备：是指本合同第一章一般条款第14条、第二章专门条款第1条及合同附件所列明的设备主件、配件、软件、技术文件等。</w:t>
      </w:r>
    </w:p>
    <w:p>
      <w:pPr>
        <w:spacing w:line="360" w:lineRule="auto"/>
        <w:rPr>
          <w:rFonts w:hint="eastAsia" w:ascii="宋体" w:hAnsi="宋体" w:eastAsia="宋体" w:cs="宋体"/>
          <w:sz w:val="24"/>
        </w:rPr>
      </w:pPr>
      <w:r>
        <w:rPr>
          <w:rFonts w:hint="eastAsia" w:ascii="宋体" w:hAnsi="宋体" w:eastAsia="宋体" w:cs="宋体"/>
          <w:sz w:val="24"/>
        </w:rPr>
        <w:t>1.4 技术文件：是指与设备有关的任何用户许可协议、产品说明书、图纸、电路图、用户手册、市场推广材料、合格证、保修承诺和证书及其他类似的文件资料等。</w:t>
      </w:r>
    </w:p>
    <w:p>
      <w:pPr>
        <w:spacing w:line="360" w:lineRule="auto"/>
        <w:rPr>
          <w:rFonts w:hint="eastAsia" w:ascii="宋体" w:hAnsi="宋体" w:eastAsia="宋体" w:cs="宋体"/>
          <w:sz w:val="24"/>
        </w:rPr>
      </w:pPr>
      <w:r>
        <w:rPr>
          <w:rFonts w:hint="eastAsia" w:ascii="宋体" w:hAnsi="宋体" w:eastAsia="宋体" w:cs="宋体"/>
          <w:sz w:val="24"/>
        </w:rPr>
        <w:t>1.5 日期：本合同所述的“天”数均指“日历天”数。</w:t>
      </w:r>
    </w:p>
    <w:p>
      <w:pPr>
        <w:spacing w:line="360" w:lineRule="auto"/>
        <w:rPr>
          <w:rFonts w:hint="eastAsia" w:ascii="宋体" w:hAnsi="宋体" w:eastAsia="宋体" w:cs="宋体"/>
          <w:kern w:val="0"/>
          <w:sz w:val="24"/>
        </w:rPr>
      </w:pPr>
      <w:r>
        <w:rPr>
          <w:rFonts w:hint="eastAsia" w:ascii="宋体" w:hAnsi="宋体" w:eastAsia="宋体" w:cs="宋体"/>
          <w:sz w:val="24"/>
        </w:rPr>
        <w:t>1.6 损失：</w:t>
      </w:r>
      <w:r>
        <w:rPr>
          <w:rFonts w:hint="eastAsia" w:ascii="宋体" w:hAnsi="宋体" w:eastAsia="宋体" w:cs="宋体"/>
          <w:kern w:val="0"/>
          <w:sz w:val="24"/>
        </w:rPr>
        <w:t>本合同所说损失包括直接损失以及向违约方追偿损失时支付的费用，包括但不限于调查取证费用、律师费用、仲裁费、诉讼费等。</w:t>
      </w:r>
    </w:p>
    <w:p>
      <w:pPr>
        <w:spacing w:line="360" w:lineRule="auto"/>
        <w:outlineLvl w:val="1"/>
        <w:rPr>
          <w:rFonts w:hint="eastAsia" w:ascii="宋体" w:hAnsi="宋体" w:eastAsia="宋体" w:cs="宋体"/>
          <w:b/>
          <w:sz w:val="24"/>
        </w:rPr>
      </w:pPr>
      <w:r>
        <w:rPr>
          <w:rFonts w:hint="eastAsia" w:ascii="宋体" w:hAnsi="宋体" w:eastAsia="宋体" w:cs="宋体"/>
          <w:b/>
          <w:sz w:val="24"/>
        </w:rPr>
        <w:t>2.质量及技术标准要求</w:t>
      </w:r>
    </w:p>
    <w:p>
      <w:pPr>
        <w:spacing w:line="360" w:lineRule="auto"/>
        <w:rPr>
          <w:rFonts w:hint="eastAsia" w:ascii="宋体" w:hAnsi="宋体" w:eastAsia="宋体" w:cs="宋体"/>
          <w:sz w:val="24"/>
        </w:rPr>
      </w:pPr>
      <w:r>
        <w:rPr>
          <w:rFonts w:hint="eastAsia" w:ascii="宋体" w:hAnsi="宋体" w:eastAsia="宋体" w:cs="宋体"/>
          <w:sz w:val="24"/>
        </w:rPr>
        <w:t>2.1 乙方交付的设备的质量及技术标准应满足下列全部要求（如果下列要求有冲突的，以最高质量及技术标准为准。），</w:t>
      </w:r>
    </w:p>
    <w:p>
      <w:pPr>
        <w:spacing w:line="360" w:lineRule="auto"/>
        <w:rPr>
          <w:rFonts w:hint="eastAsia" w:ascii="宋体" w:hAnsi="宋体" w:eastAsia="宋体" w:cs="宋体"/>
          <w:sz w:val="24"/>
        </w:rPr>
      </w:pPr>
      <w:r>
        <w:rPr>
          <w:rFonts w:hint="eastAsia" w:ascii="宋体" w:hAnsi="宋体" w:eastAsia="宋体" w:cs="宋体"/>
          <w:sz w:val="24"/>
        </w:rPr>
        <w:t>2.1.1 双方在本合同专用条款约定及合同附件中约定的标准；</w:t>
      </w:r>
    </w:p>
    <w:p>
      <w:pPr>
        <w:spacing w:line="360" w:lineRule="auto"/>
        <w:rPr>
          <w:rFonts w:hint="eastAsia" w:ascii="宋体" w:hAnsi="宋体" w:eastAsia="宋体" w:cs="宋体"/>
          <w:sz w:val="24"/>
        </w:rPr>
      </w:pPr>
      <w:r>
        <w:rPr>
          <w:rFonts w:hint="eastAsia" w:ascii="宋体" w:hAnsi="宋体" w:eastAsia="宋体" w:cs="宋体"/>
          <w:sz w:val="24"/>
        </w:rPr>
        <w:t>2.1.2 国家标准、行业标准、生产企业标准中的最高标准；</w:t>
      </w:r>
    </w:p>
    <w:p>
      <w:pPr>
        <w:spacing w:line="360" w:lineRule="auto"/>
        <w:rPr>
          <w:rFonts w:hint="eastAsia" w:ascii="宋体" w:hAnsi="宋体" w:eastAsia="宋体" w:cs="宋体"/>
          <w:sz w:val="24"/>
        </w:rPr>
      </w:pPr>
      <w:r>
        <w:rPr>
          <w:rFonts w:hint="eastAsia" w:ascii="宋体" w:hAnsi="宋体" w:eastAsia="宋体" w:cs="宋体"/>
          <w:sz w:val="24"/>
        </w:rPr>
        <w:t>2.1.3 甲方向乙方明示的购买本设备的使用技术要求：</w:t>
      </w:r>
    </w:p>
    <w:p>
      <w:pPr>
        <w:spacing w:line="360" w:lineRule="auto"/>
        <w:rPr>
          <w:rFonts w:hint="eastAsia" w:ascii="宋体" w:hAnsi="宋体" w:eastAsia="宋体" w:cs="宋体"/>
          <w:sz w:val="24"/>
        </w:rPr>
      </w:pPr>
      <w:r>
        <w:rPr>
          <w:rFonts w:hint="eastAsia" w:ascii="宋体" w:hAnsi="宋体" w:eastAsia="宋体" w:cs="宋体"/>
          <w:sz w:val="24"/>
        </w:rPr>
        <w:t>2.1.4 甲方向乙方明示的购买本设备的使用目的、性能、特点要求：</w:t>
      </w:r>
    </w:p>
    <w:p>
      <w:pPr>
        <w:spacing w:line="360" w:lineRule="auto"/>
        <w:rPr>
          <w:rFonts w:hint="eastAsia" w:ascii="宋体" w:hAnsi="宋体" w:eastAsia="宋体" w:cs="宋体"/>
          <w:sz w:val="24"/>
        </w:rPr>
      </w:pPr>
      <w:r>
        <w:rPr>
          <w:rFonts w:hint="eastAsia" w:ascii="宋体" w:hAnsi="宋体" w:eastAsia="宋体" w:cs="宋体"/>
          <w:sz w:val="24"/>
        </w:rPr>
        <w:t>2.1.5 乙方向甲方或不特定其它人出示、展示的产品说明书、产品宣传册、报价材料、乙方网站等对该设备产品的质量、技术性能所作的描述、宣示、承诺的标准。</w:t>
      </w:r>
    </w:p>
    <w:p>
      <w:pPr>
        <w:spacing w:line="360" w:lineRule="auto"/>
        <w:outlineLvl w:val="1"/>
        <w:rPr>
          <w:rFonts w:hint="eastAsia" w:ascii="宋体" w:hAnsi="宋体" w:eastAsia="宋体" w:cs="宋体"/>
          <w:b/>
          <w:sz w:val="24"/>
        </w:rPr>
      </w:pPr>
      <w:r>
        <w:rPr>
          <w:rFonts w:hint="eastAsia" w:ascii="宋体" w:hAnsi="宋体" w:eastAsia="宋体" w:cs="宋体"/>
          <w:b/>
          <w:sz w:val="24"/>
        </w:rPr>
        <w:t>3.包装标准及运输</w:t>
      </w:r>
    </w:p>
    <w:p>
      <w:pPr>
        <w:spacing w:line="360" w:lineRule="auto"/>
        <w:rPr>
          <w:rFonts w:hint="eastAsia" w:ascii="宋体" w:hAnsi="宋体" w:eastAsia="宋体" w:cs="宋体"/>
          <w:sz w:val="24"/>
        </w:rPr>
      </w:pPr>
      <w:r>
        <w:rPr>
          <w:rFonts w:hint="eastAsia" w:ascii="宋体" w:hAnsi="宋体" w:eastAsia="宋体" w:cs="宋体"/>
          <w:sz w:val="24"/>
        </w:rPr>
        <w:t>3.1 乙方所交付的所有设备应按符合国家关于此类包装的相关标准，并保证适合长途运输和多次搬运、装卸，不能造成运输过程中箱件破损，设备和零件散失；并应按设备特点，按需要分别加上防潮、防霉、防锈、防腐蚀等保护措施，以保证设备在没有任何损坏和腐蚀的情况下安全运抵合同设备安装现场；包装费用由乙方承担。</w:t>
      </w:r>
    </w:p>
    <w:p>
      <w:pPr>
        <w:spacing w:line="360" w:lineRule="auto"/>
        <w:rPr>
          <w:rFonts w:hint="eastAsia" w:ascii="宋体" w:hAnsi="宋体" w:eastAsia="宋体" w:cs="宋体"/>
          <w:sz w:val="24"/>
        </w:rPr>
      </w:pPr>
      <w:r>
        <w:rPr>
          <w:rFonts w:hint="eastAsia" w:ascii="宋体" w:hAnsi="宋体" w:eastAsia="宋体" w:cs="宋体"/>
          <w:sz w:val="24"/>
        </w:rPr>
        <w:t>3.2 每件包装箱内，应附有包括分件名称、数量、机组号、图号的详细装箱单、合格证等。</w:t>
      </w:r>
    </w:p>
    <w:p>
      <w:pPr>
        <w:spacing w:line="360" w:lineRule="auto"/>
        <w:rPr>
          <w:rFonts w:hint="eastAsia" w:ascii="宋体" w:hAnsi="宋体" w:eastAsia="宋体" w:cs="宋体"/>
          <w:sz w:val="24"/>
        </w:rPr>
      </w:pPr>
      <w:r>
        <w:rPr>
          <w:rFonts w:hint="eastAsia" w:ascii="宋体" w:hAnsi="宋体" w:eastAsia="宋体" w:cs="宋体"/>
          <w:sz w:val="24"/>
        </w:rPr>
        <w:t>3.3 凡由于乙方包装或保管不善致使货物遇到损坏或丢失时，不论在何时何地发现，一经证实，乙方均应按本合同质保期相关规定负责及时修理、更换。</w:t>
      </w:r>
    </w:p>
    <w:p>
      <w:pPr>
        <w:spacing w:line="360" w:lineRule="auto"/>
        <w:rPr>
          <w:rFonts w:hint="eastAsia" w:ascii="宋体" w:hAnsi="宋体" w:eastAsia="宋体" w:cs="宋体"/>
          <w:sz w:val="24"/>
        </w:rPr>
      </w:pPr>
      <w:r>
        <w:rPr>
          <w:rFonts w:hint="eastAsia" w:ascii="宋体" w:hAnsi="宋体" w:eastAsia="宋体" w:cs="宋体"/>
          <w:sz w:val="24"/>
        </w:rPr>
        <w:t>3.4 如无专门约定，包装物归甲方所有，并由甲方处置。</w:t>
      </w:r>
    </w:p>
    <w:p>
      <w:pPr>
        <w:spacing w:line="360" w:lineRule="auto"/>
        <w:rPr>
          <w:rFonts w:hint="eastAsia" w:ascii="宋体" w:hAnsi="宋体" w:eastAsia="宋体" w:cs="宋体"/>
          <w:sz w:val="24"/>
        </w:rPr>
      </w:pPr>
      <w:r>
        <w:rPr>
          <w:rFonts w:hint="eastAsia" w:ascii="宋体" w:hAnsi="宋体" w:eastAsia="宋体" w:cs="宋体"/>
          <w:sz w:val="24"/>
        </w:rPr>
        <w:t>3.5 设备运输费用由乙方承担，本合同专门条款另有约定的从其约定。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3.6 乙方从工厂到项目所在地的所有运输风险均由乙方承担，运输中发现货物损坏和丢失时，乙方应负责与承运部门及保险公司交涉，甲方不负责运输过程中发生的一切费用及责任，同时乙方应尽快向买方补供货物。</w:t>
      </w:r>
    </w:p>
    <w:p>
      <w:pPr>
        <w:spacing w:line="360" w:lineRule="auto"/>
        <w:outlineLvl w:val="1"/>
        <w:rPr>
          <w:rFonts w:hint="eastAsia" w:ascii="宋体" w:hAnsi="宋体" w:eastAsia="宋体" w:cs="宋体"/>
          <w:b/>
          <w:sz w:val="24"/>
        </w:rPr>
      </w:pPr>
      <w:r>
        <w:rPr>
          <w:rFonts w:hint="eastAsia" w:ascii="宋体" w:hAnsi="宋体" w:eastAsia="宋体" w:cs="宋体"/>
          <w:b/>
          <w:sz w:val="24"/>
        </w:rPr>
        <w:t>4.设备保证</w:t>
      </w:r>
    </w:p>
    <w:p>
      <w:pPr>
        <w:spacing w:line="360" w:lineRule="auto"/>
        <w:rPr>
          <w:rFonts w:hint="eastAsia" w:ascii="宋体" w:hAnsi="宋体" w:eastAsia="宋体" w:cs="宋体"/>
          <w:sz w:val="24"/>
        </w:rPr>
      </w:pPr>
      <w:r>
        <w:rPr>
          <w:rFonts w:hint="eastAsia" w:ascii="宋体" w:hAnsi="宋体" w:eastAsia="宋体" w:cs="宋体"/>
          <w:sz w:val="24"/>
        </w:rPr>
        <w:t>4.1 乙方应承诺及保证设备是原厂生产的、全新的、未使用过的（包括但不限于零部件、赠品等），符合原厂质量检测标准（以说明书为准）；本合同有约定型号的以约定为准，没有约定的以最新型号为准，且含有设计上和材料上的全部最新改进。</w:t>
      </w:r>
    </w:p>
    <w:p>
      <w:pPr>
        <w:spacing w:line="360" w:lineRule="auto"/>
        <w:rPr>
          <w:rFonts w:hint="eastAsia" w:ascii="宋体" w:hAnsi="宋体" w:eastAsia="宋体" w:cs="宋体"/>
          <w:sz w:val="24"/>
        </w:rPr>
      </w:pPr>
      <w:r>
        <w:rPr>
          <w:rFonts w:hint="eastAsia" w:ascii="宋体" w:hAnsi="宋体" w:eastAsia="宋体" w:cs="宋体"/>
          <w:sz w:val="24"/>
        </w:rPr>
        <w:t>4.2 乙方应保证设备没有任何设计、材料或工艺上的缺陷，或者没有因乙方的行为或疏忽而产生的缺陷，可安全用于设备使用目的之用途。</w:t>
      </w:r>
    </w:p>
    <w:p>
      <w:pPr>
        <w:spacing w:line="360" w:lineRule="auto"/>
        <w:rPr>
          <w:rFonts w:hint="eastAsia" w:ascii="宋体" w:hAnsi="宋体" w:eastAsia="宋体" w:cs="宋体"/>
          <w:sz w:val="24"/>
        </w:rPr>
      </w:pPr>
      <w:r>
        <w:rPr>
          <w:rFonts w:hint="eastAsia" w:ascii="宋体" w:hAnsi="宋体" w:eastAsia="宋体" w:cs="宋体"/>
          <w:sz w:val="24"/>
        </w:rPr>
        <w:t>4.3 乙方应保证设备符合可适用的环保、安全等方面的国家法律法规及国家标准的要求。</w:t>
      </w:r>
    </w:p>
    <w:p>
      <w:pPr>
        <w:spacing w:line="360" w:lineRule="auto"/>
        <w:rPr>
          <w:rFonts w:hint="eastAsia" w:ascii="宋体" w:hAnsi="宋体" w:eastAsia="宋体" w:cs="宋体"/>
          <w:sz w:val="24"/>
        </w:rPr>
      </w:pPr>
      <w:r>
        <w:rPr>
          <w:rFonts w:hint="eastAsia" w:ascii="宋体" w:hAnsi="宋体" w:eastAsia="宋体" w:cs="宋体"/>
          <w:sz w:val="24"/>
        </w:rPr>
        <w:t>4.4 乙方应保证甲方基于设备的使用不会侵犯或被认为侵犯第三方的专利、版权、商标、商业秘密等知识产权权利；若甲方因此而遭受损失的，乙方应承担全部赔偿责任。</w:t>
      </w:r>
    </w:p>
    <w:p>
      <w:pPr>
        <w:spacing w:line="360" w:lineRule="auto"/>
        <w:rPr>
          <w:rFonts w:hint="eastAsia" w:ascii="宋体" w:hAnsi="宋体" w:eastAsia="宋体" w:cs="宋体"/>
          <w:sz w:val="24"/>
        </w:rPr>
      </w:pPr>
      <w:r>
        <w:rPr>
          <w:rFonts w:hint="eastAsia" w:ascii="宋体" w:hAnsi="宋体" w:eastAsia="宋体" w:cs="宋体"/>
          <w:sz w:val="24"/>
        </w:rPr>
        <w:t>4.5 设备交付是指包括设备主机、零配件、技术资料等的全部交付，且经过甲方最终验收，以甲方无障碍的使用、达到使用目的为准。</w:t>
      </w:r>
    </w:p>
    <w:p>
      <w:pPr>
        <w:spacing w:line="360" w:lineRule="auto"/>
        <w:outlineLvl w:val="1"/>
        <w:rPr>
          <w:rFonts w:hint="eastAsia" w:ascii="宋体" w:hAnsi="宋体" w:eastAsia="宋体" w:cs="宋体"/>
          <w:b/>
          <w:sz w:val="24"/>
        </w:rPr>
      </w:pPr>
      <w:r>
        <w:rPr>
          <w:rFonts w:hint="eastAsia" w:ascii="宋体" w:hAnsi="宋体" w:eastAsia="宋体" w:cs="宋体"/>
          <w:b/>
          <w:sz w:val="24"/>
        </w:rPr>
        <w:t>5.安装、调试及培训</w:t>
      </w:r>
    </w:p>
    <w:p>
      <w:pPr>
        <w:spacing w:line="360" w:lineRule="auto"/>
        <w:rPr>
          <w:rFonts w:hint="eastAsia" w:ascii="宋体" w:hAnsi="宋体" w:eastAsia="宋体" w:cs="宋体"/>
          <w:sz w:val="24"/>
        </w:rPr>
      </w:pPr>
      <w:r>
        <w:rPr>
          <w:rFonts w:hint="eastAsia" w:ascii="宋体" w:hAnsi="宋体" w:eastAsia="宋体" w:cs="宋体"/>
          <w:sz w:val="24"/>
        </w:rPr>
        <w:t>5.1 安装前准备</w:t>
      </w:r>
    </w:p>
    <w:p>
      <w:pPr>
        <w:spacing w:line="360" w:lineRule="auto"/>
        <w:rPr>
          <w:rFonts w:hint="eastAsia" w:ascii="宋体" w:hAnsi="宋体" w:eastAsia="宋体" w:cs="宋体"/>
          <w:sz w:val="24"/>
        </w:rPr>
      </w:pPr>
      <w:r>
        <w:rPr>
          <w:rFonts w:hint="eastAsia" w:ascii="宋体" w:hAnsi="宋体" w:eastAsia="宋体" w:cs="宋体"/>
          <w:sz w:val="24"/>
        </w:rPr>
        <w:t>5.1.1 乙方应当在设备安装、调试前应向甲方提交设备技术资料、图纸及说明书等文件并通过甲方审核。乙方在安装、调试过程中，应当严格按照已通过审核的技术资料、图纸及说明书等文件设备进行安装、调试。</w:t>
      </w:r>
    </w:p>
    <w:p>
      <w:pPr>
        <w:spacing w:line="360" w:lineRule="auto"/>
        <w:rPr>
          <w:rFonts w:hint="eastAsia" w:ascii="宋体" w:hAnsi="宋体" w:eastAsia="宋体" w:cs="宋体"/>
          <w:sz w:val="24"/>
        </w:rPr>
      </w:pPr>
      <w:r>
        <w:rPr>
          <w:rFonts w:hint="eastAsia" w:ascii="宋体" w:hAnsi="宋体" w:eastAsia="宋体" w:cs="宋体"/>
          <w:sz w:val="24"/>
        </w:rPr>
        <w:t>5.1.2 乙方应当在设备安全、调试前勘察安装现场，若设备的安装调试需要对安装现场进行布置，则乙方应在发货前提出书面布置并通过甲方审核。</w:t>
      </w:r>
    </w:p>
    <w:p>
      <w:pPr>
        <w:spacing w:line="360" w:lineRule="auto"/>
        <w:rPr>
          <w:rFonts w:hint="eastAsia" w:ascii="宋体" w:hAnsi="宋体" w:eastAsia="宋体" w:cs="宋体"/>
          <w:sz w:val="24"/>
        </w:rPr>
      </w:pPr>
      <w:r>
        <w:rPr>
          <w:rFonts w:hint="eastAsia" w:ascii="宋体" w:hAnsi="宋体" w:eastAsia="宋体" w:cs="宋体"/>
          <w:sz w:val="24"/>
        </w:rPr>
        <w:t>5.2 安装、调试进度</w:t>
      </w:r>
    </w:p>
    <w:p>
      <w:pPr>
        <w:spacing w:line="360" w:lineRule="auto"/>
        <w:rPr>
          <w:rFonts w:hint="eastAsia" w:ascii="宋体" w:hAnsi="宋体" w:eastAsia="宋体" w:cs="宋体"/>
          <w:sz w:val="24"/>
        </w:rPr>
      </w:pPr>
      <w:r>
        <w:rPr>
          <w:rFonts w:hint="eastAsia" w:ascii="宋体" w:hAnsi="宋体" w:eastAsia="宋体" w:cs="宋体"/>
          <w:sz w:val="24"/>
        </w:rPr>
        <w:t>5.2.1 安装、调试工期为：</w:t>
      </w:r>
      <w:r>
        <w:rPr>
          <w:rFonts w:hint="eastAsia" w:ascii="宋体" w:hAnsi="宋体" w:eastAsia="宋体" w:cs="宋体"/>
          <w:sz w:val="24"/>
          <w:u w:val="single"/>
          <w:lang w:val="en-US" w:eastAsia="zh-CN"/>
        </w:rPr>
        <w:t>/</w:t>
      </w:r>
      <w:r>
        <w:rPr>
          <w:rFonts w:hint="eastAsia" w:ascii="宋体" w:hAnsi="宋体" w:eastAsia="宋体" w:cs="宋体"/>
          <w:sz w:val="24"/>
          <w:u w:val="single"/>
        </w:rPr>
        <w:t>日历天</w:t>
      </w:r>
      <w:r>
        <w:rPr>
          <w:rFonts w:hint="eastAsia" w:ascii="宋体" w:hAnsi="宋体" w:eastAsia="宋体" w:cs="宋体"/>
          <w:sz w:val="24"/>
        </w:rPr>
        <w:t>。乙方应在该工期内完成设备的安装、调试。本合同专门条款另有约定的从其约定。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5.2.2 安装工期自现场具备安装条件且甲方通知乙方进场之日（以两者较早者为准）起计算。本合同专门条款另有约定的从其约定。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5.2.3 因以下原因造成安装工期延误，由乙方书面提出申请并经甲方书面确认，工期相应顺延：</w:t>
      </w:r>
    </w:p>
    <w:p>
      <w:pPr>
        <w:spacing w:line="360" w:lineRule="auto"/>
        <w:rPr>
          <w:rFonts w:hint="eastAsia" w:ascii="宋体" w:hAnsi="宋体" w:eastAsia="宋体" w:cs="宋体"/>
          <w:sz w:val="24"/>
        </w:rPr>
      </w:pPr>
      <w:r>
        <w:rPr>
          <w:rFonts w:hint="eastAsia" w:ascii="宋体" w:hAnsi="宋体" w:eastAsia="宋体" w:cs="宋体"/>
          <w:sz w:val="24"/>
        </w:rPr>
        <w:t>（1）一周内非乙方原因停水、停电造成停工累计超过8小时；</w:t>
      </w:r>
    </w:p>
    <w:p>
      <w:pPr>
        <w:spacing w:line="360" w:lineRule="auto"/>
        <w:rPr>
          <w:rFonts w:hint="eastAsia" w:ascii="宋体" w:hAnsi="宋体" w:eastAsia="宋体" w:cs="宋体"/>
          <w:sz w:val="24"/>
        </w:rPr>
      </w:pPr>
      <w:r>
        <w:rPr>
          <w:rFonts w:hint="eastAsia" w:ascii="宋体" w:hAnsi="宋体" w:eastAsia="宋体" w:cs="宋体"/>
          <w:sz w:val="24"/>
        </w:rPr>
        <w:t>（2）不可抗力。</w:t>
      </w:r>
    </w:p>
    <w:p>
      <w:pPr>
        <w:spacing w:line="360" w:lineRule="auto"/>
        <w:rPr>
          <w:rFonts w:hint="eastAsia" w:ascii="宋体" w:hAnsi="宋体" w:eastAsia="宋体" w:cs="宋体"/>
          <w:sz w:val="24"/>
        </w:rPr>
      </w:pPr>
      <w:r>
        <w:rPr>
          <w:rFonts w:hint="eastAsia" w:ascii="宋体" w:hAnsi="宋体" w:eastAsia="宋体" w:cs="宋体"/>
          <w:sz w:val="24"/>
        </w:rPr>
        <w:t>5.2.4 对于类似高考、法定节假日等可预见的可能对安装调试有影响的特殊期间，乙方应预先做出安排，且工期不因有关部门采取限制措施而顺延，因此影响的费用由乙方自理。</w:t>
      </w:r>
    </w:p>
    <w:p>
      <w:pPr>
        <w:spacing w:line="360" w:lineRule="auto"/>
        <w:rPr>
          <w:rFonts w:hint="eastAsia" w:ascii="宋体" w:hAnsi="宋体" w:eastAsia="宋体" w:cs="宋体"/>
          <w:sz w:val="24"/>
        </w:rPr>
      </w:pPr>
      <w:r>
        <w:rPr>
          <w:rFonts w:hint="eastAsia" w:ascii="宋体" w:hAnsi="宋体" w:eastAsia="宋体" w:cs="宋体"/>
          <w:sz w:val="24"/>
        </w:rPr>
        <w:t>5.2.5 未经甲方书面确认，由于乙方安装、调试工期延误，影响甲方正常生产经营的，由乙方承担甲方全部损失。</w:t>
      </w:r>
    </w:p>
    <w:p>
      <w:pPr>
        <w:spacing w:line="360" w:lineRule="auto"/>
        <w:rPr>
          <w:rFonts w:hint="eastAsia" w:ascii="宋体" w:hAnsi="宋体" w:eastAsia="宋体" w:cs="宋体"/>
          <w:sz w:val="24"/>
        </w:rPr>
      </w:pPr>
      <w:r>
        <w:rPr>
          <w:rFonts w:hint="eastAsia" w:ascii="宋体" w:hAnsi="宋体" w:eastAsia="宋体" w:cs="宋体"/>
          <w:sz w:val="24"/>
        </w:rPr>
        <w:t>5.3 安装、调试</w:t>
      </w:r>
    </w:p>
    <w:p>
      <w:pPr>
        <w:spacing w:line="360" w:lineRule="auto"/>
        <w:rPr>
          <w:rFonts w:hint="eastAsia" w:ascii="宋体" w:hAnsi="宋体" w:eastAsia="宋体" w:cs="宋体"/>
          <w:sz w:val="24"/>
        </w:rPr>
      </w:pPr>
      <w:r>
        <w:rPr>
          <w:rFonts w:hint="eastAsia" w:ascii="宋体" w:hAnsi="宋体" w:eastAsia="宋体" w:cs="宋体"/>
          <w:sz w:val="24"/>
        </w:rPr>
        <w:t>5.3.1 本合同设备由乙方负责进行安装、调试。乙方应当严格按照本合同约定以及国家、省、市有关现行规范完成设备安装、调试工作。</w:t>
      </w:r>
    </w:p>
    <w:p>
      <w:pPr>
        <w:spacing w:line="360" w:lineRule="auto"/>
        <w:rPr>
          <w:rFonts w:hint="eastAsia" w:ascii="宋体" w:hAnsi="宋体" w:eastAsia="宋体" w:cs="宋体"/>
          <w:sz w:val="24"/>
        </w:rPr>
      </w:pPr>
      <w:r>
        <w:rPr>
          <w:rFonts w:hint="eastAsia" w:ascii="宋体" w:hAnsi="宋体" w:eastAsia="宋体" w:cs="宋体"/>
          <w:sz w:val="24"/>
        </w:rPr>
        <w:t>5.3.2 乙方应当承担安装、调试期间安全保卫工作及安装照明等工作并承担由此产生的一切费用。安装、调试期间发生的一切安全事故、违法违规事件，均由乙方负责处理并承担相应的责任和费用。</w:t>
      </w:r>
    </w:p>
    <w:p>
      <w:pPr>
        <w:spacing w:line="360" w:lineRule="auto"/>
        <w:rPr>
          <w:rFonts w:hint="eastAsia" w:ascii="宋体" w:hAnsi="宋体" w:eastAsia="宋体" w:cs="宋体"/>
          <w:sz w:val="24"/>
        </w:rPr>
      </w:pPr>
      <w:r>
        <w:rPr>
          <w:rFonts w:hint="eastAsia" w:ascii="宋体" w:hAnsi="宋体" w:eastAsia="宋体" w:cs="宋体"/>
          <w:sz w:val="24"/>
        </w:rPr>
        <w:t>5.3.3 乙方全权负责其劳务及职员的雇佣、工资的支付，住宿、膳食及运输等安排。乙方在任何时候均应采取一切合理的预防措施，以防止其职员发生任何违法或妨害治安的行为，并且保护工程附近的个人或财产免遭上述行为的破坏。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5.3.4 乙方负责设备安装调试工程全部档案资料的汇总、整理、归档，并在安装、调试完成后移交给甲方。</w:t>
      </w:r>
    </w:p>
    <w:p>
      <w:pPr>
        <w:spacing w:line="360" w:lineRule="auto"/>
        <w:rPr>
          <w:rFonts w:hint="eastAsia" w:ascii="宋体" w:hAnsi="宋体" w:eastAsia="宋体" w:cs="宋体"/>
          <w:sz w:val="24"/>
        </w:rPr>
      </w:pPr>
      <w:r>
        <w:rPr>
          <w:rFonts w:hint="eastAsia" w:ascii="宋体" w:hAnsi="宋体" w:eastAsia="宋体" w:cs="宋体"/>
          <w:sz w:val="24"/>
        </w:rPr>
        <w:t>5.3.5 乙方经甲方批准后可在安装现场铺设临时设施，但必须在安装结束后负责清除完毕。由于乙方原因引起工期延长，造成临时设施影响甲方正常经营的，增加的费用由乙方负责。</w:t>
      </w:r>
    </w:p>
    <w:p>
      <w:pPr>
        <w:spacing w:line="360" w:lineRule="auto"/>
        <w:rPr>
          <w:rFonts w:hint="eastAsia" w:ascii="宋体" w:hAnsi="宋体" w:eastAsia="宋体" w:cs="宋体"/>
          <w:sz w:val="24"/>
        </w:rPr>
      </w:pPr>
      <w:r>
        <w:rPr>
          <w:rFonts w:hint="eastAsia" w:ascii="宋体" w:hAnsi="宋体" w:eastAsia="宋体" w:cs="宋体"/>
          <w:sz w:val="24"/>
        </w:rPr>
        <w:t>5.3.6 安装所需的工具由乙方提供并自行运输至安装现场，该费用由乙方承担。在安装结束后，乙方应当按照甲方的要求，将乙方的工具搬出安装现场并拆除临时设施。安装调试结束前，乙方负责安装现场的卫生清理，并按甲方的要求堆放垃圾。</w:t>
      </w:r>
    </w:p>
    <w:p>
      <w:pPr>
        <w:spacing w:line="360" w:lineRule="auto"/>
        <w:rPr>
          <w:rFonts w:hint="eastAsia" w:ascii="宋体" w:hAnsi="宋体" w:eastAsia="宋体" w:cs="宋体"/>
          <w:sz w:val="24"/>
        </w:rPr>
      </w:pPr>
      <w:r>
        <w:rPr>
          <w:rFonts w:hint="eastAsia" w:ascii="宋体" w:hAnsi="宋体" w:eastAsia="宋体" w:cs="宋体"/>
          <w:sz w:val="24"/>
        </w:rPr>
        <w:t>5.4 试运行</w:t>
      </w:r>
    </w:p>
    <w:p>
      <w:pPr>
        <w:spacing w:line="360" w:lineRule="auto"/>
        <w:rPr>
          <w:rFonts w:hint="eastAsia" w:ascii="宋体" w:hAnsi="宋体" w:eastAsia="宋体" w:cs="宋体"/>
          <w:sz w:val="24"/>
        </w:rPr>
      </w:pPr>
      <w:r>
        <w:rPr>
          <w:rFonts w:hint="eastAsia" w:ascii="宋体" w:hAnsi="宋体" w:eastAsia="宋体" w:cs="宋体"/>
          <w:sz w:val="24"/>
        </w:rPr>
        <w:t>5.4.1 试运行阶段为：</w:t>
      </w:r>
      <w:r>
        <w:rPr>
          <w:rFonts w:hint="eastAsia" w:ascii="宋体" w:hAnsi="宋体" w:eastAsia="宋体" w:cs="宋体"/>
          <w:sz w:val="24"/>
          <w:u w:val="single"/>
        </w:rPr>
        <w:t> </w:t>
      </w:r>
      <w:r>
        <w:rPr>
          <w:rFonts w:hint="eastAsia" w:ascii="宋体" w:hAnsi="宋体" w:eastAsia="宋体" w:cs="宋体"/>
          <w:sz w:val="24"/>
          <w:u w:val="single"/>
          <w:lang w:val="en-US" w:eastAsia="zh-CN"/>
        </w:rPr>
        <w:t>/</w:t>
      </w:r>
      <w:r>
        <w:rPr>
          <w:rFonts w:hint="eastAsia" w:ascii="宋体" w:hAnsi="宋体" w:eastAsia="宋体" w:cs="宋体"/>
          <w:sz w:val="24"/>
          <w:u w:val="single"/>
        </w:rPr>
        <w:t> </w:t>
      </w:r>
      <w:r>
        <w:rPr>
          <w:rFonts w:hint="eastAsia" w:ascii="宋体" w:hAnsi="宋体" w:eastAsia="宋体" w:cs="宋体"/>
          <w:sz w:val="24"/>
        </w:rPr>
        <w:t>个日历天，自乙方完成设备安装调试并通知甲方进入试运行阶段之日起算。</w:t>
      </w:r>
    </w:p>
    <w:p>
      <w:pPr>
        <w:spacing w:line="360" w:lineRule="auto"/>
        <w:rPr>
          <w:rFonts w:hint="eastAsia" w:ascii="宋体" w:hAnsi="宋体" w:eastAsia="宋体" w:cs="宋体"/>
          <w:sz w:val="24"/>
        </w:rPr>
      </w:pPr>
      <w:r>
        <w:rPr>
          <w:rFonts w:hint="eastAsia" w:ascii="宋体" w:hAnsi="宋体" w:eastAsia="宋体" w:cs="宋体"/>
          <w:sz w:val="24"/>
        </w:rPr>
        <w:t>5.4.2 试运行阶段由甲方指定人员与乙方人员共同操作设备。</w:t>
      </w:r>
    </w:p>
    <w:p>
      <w:pPr>
        <w:spacing w:line="360" w:lineRule="auto"/>
        <w:rPr>
          <w:rFonts w:hint="eastAsia" w:ascii="宋体" w:hAnsi="宋体" w:eastAsia="宋体" w:cs="宋体"/>
          <w:sz w:val="24"/>
        </w:rPr>
      </w:pPr>
      <w:r>
        <w:rPr>
          <w:rFonts w:hint="eastAsia" w:ascii="宋体" w:hAnsi="宋体" w:eastAsia="宋体" w:cs="宋体"/>
          <w:sz w:val="24"/>
        </w:rPr>
        <w:t>5.5 培训</w:t>
      </w:r>
    </w:p>
    <w:p>
      <w:pPr>
        <w:spacing w:line="360" w:lineRule="auto"/>
        <w:rPr>
          <w:rFonts w:hint="eastAsia" w:ascii="宋体" w:hAnsi="宋体" w:eastAsia="宋体" w:cs="宋体"/>
          <w:sz w:val="24"/>
        </w:rPr>
      </w:pPr>
      <w:r>
        <w:rPr>
          <w:rFonts w:hint="eastAsia" w:ascii="宋体" w:hAnsi="宋体" w:eastAsia="宋体" w:cs="宋体"/>
          <w:sz w:val="24"/>
        </w:rPr>
        <w:t>5.5.1自乙方安装、调试完毕之日起至最终验收合格之日止，乙方须完成对甲方工作人员的培训工作，包括但不限于设备使用方法、设备的保养等。</w:t>
      </w:r>
    </w:p>
    <w:p>
      <w:pPr>
        <w:spacing w:line="360" w:lineRule="auto"/>
        <w:rPr>
          <w:rFonts w:hint="eastAsia" w:ascii="宋体" w:hAnsi="宋体" w:eastAsia="宋体" w:cs="宋体"/>
          <w:sz w:val="24"/>
        </w:rPr>
      </w:pPr>
      <w:r>
        <w:rPr>
          <w:rFonts w:hint="eastAsia" w:ascii="宋体" w:hAnsi="宋体" w:eastAsia="宋体" w:cs="宋体"/>
          <w:sz w:val="24"/>
        </w:rPr>
        <w:t>5.6 地点</w:t>
      </w:r>
    </w:p>
    <w:p>
      <w:pPr>
        <w:spacing w:line="360" w:lineRule="auto"/>
        <w:rPr>
          <w:rFonts w:hint="eastAsia" w:ascii="宋体" w:hAnsi="宋体" w:eastAsia="宋体" w:cs="宋体"/>
          <w:sz w:val="24"/>
        </w:rPr>
      </w:pPr>
      <w:r>
        <w:rPr>
          <w:rFonts w:hint="eastAsia" w:ascii="宋体" w:hAnsi="宋体" w:eastAsia="宋体" w:cs="宋体"/>
          <w:sz w:val="24"/>
        </w:rPr>
        <w:t>5.6.1 设备交付、安装调试、培训的地点由双方在本合同专用条款中约定，如专用条款没有约定，则设备交付、安装调试、培训的地点均为</w:t>
      </w:r>
      <w:r>
        <w:rPr>
          <w:rFonts w:hint="eastAsia" w:ascii="宋体" w:hAnsi="宋体" w:eastAsia="宋体" w:cs="宋体"/>
          <w:sz w:val="24"/>
          <w:u w:val="single"/>
        </w:rPr>
        <w:t>甲方该项目住所地</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5.7 其他</w:t>
      </w:r>
    </w:p>
    <w:p>
      <w:pPr>
        <w:spacing w:line="360" w:lineRule="auto"/>
        <w:rPr>
          <w:rFonts w:hint="eastAsia" w:ascii="宋体" w:hAnsi="宋体" w:eastAsia="宋体" w:cs="宋体"/>
          <w:sz w:val="24"/>
        </w:rPr>
      </w:pPr>
      <w:r>
        <w:rPr>
          <w:rFonts w:hint="eastAsia" w:ascii="宋体" w:hAnsi="宋体" w:eastAsia="宋体" w:cs="宋体"/>
          <w:sz w:val="24"/>
        </w:rPr>
        <w:t>5.7.1 甲方应确保现场条件满足合同设备调试的要求，在调试时，提供必要的协助和工作条件。</w:t>
      </w:r>
    </w:p>
    <w:p>
      <w:pPr>
        <w:spacing w:line="360" w:lineRule="auto"/>
        <w:rPr>
          <w:rFonts w:hint="eastAsia" w:ascii="宋体" w:hAnsi="宋体" w:eastAsia="宋体" w:cs="宋体"/>
          <w:sz w:val="24"/>
        </w:rPr>
      </w:pPr>
      <w:r>
        <w:rPr>
          <w:rFonts w:hint="eastAsia" w:ascii="宋体" w:hAnsi="宋体" w:eastAsia="宋体" w:cs="宋体"/>
          <w:sz w:val="24"/>
        </w:rPr>
        <w:t>5.7.2 在乙方将货物运至指定交货地点后，甲方应及时收货并卸货。</w:t>
      </w:r>
    </w:p>
    <w:p>
      <w:pPr>
        <w:spacing w:line="360" w:lineRule="auto"/>
        <w:rPr>
          <w:rFonts w:hint="eastAsia" w:ascii="宋体" w:hAnsi="宋体" w:eastAsia="宋体" w:cs="宋体"/>
          <w:sz w:val="24"/>
        </w:rPr>
      </w:pPr>
      <w:r>
        <w:rPr>
          <w:rFonts w:hint="eastAsia" w:ascii="宋体" w:hAnsi="宋体" w:eastAsia="宋体" w:cs="宋体"/>
          <w:sz w:val="24"/>
        </w:rPr>
        <w:t>5.7.3 试运行结束后，甲方应按照设备的《安装、操作手册》等产品说明或该设备通用的操作规程进行操作，并做好日常保养。</w:t>
      </w:r>
    </w:p>
    <w:p>
      <w:pPr>
        <w:spacing w:line="360" w:lineRule="auto"/>
        <w:outlineLvl w:val="1"/>
        <w:rPr>
          <w:rFonts w:hint="eastAsia" w:ascii="宋体" w:hAnsi="宋体" w:eastAsia="宋体" w:cs="宋体"/>
          <w:b/>
          <w:sz w:val="24"/>
        </w:rPr>
      </w:pPr>
      <w:r>
        <w:rPr>
          <w:rFonts w:hint="eastAsia" w:ascii="宋体" w:hAnsi="宋体" w:eastAsia="宋体" w:cs="宋体"/>
          <w:b/>
          <w:sz w:val="24"/>
        </w:rPr>
        <w:t>6.设备验收</w:t>
      </w:r>
    </w:p>
    <w:p>
      <w:pPr>
        <w:spacing w:line="360" w:lineRule="auto"/>
        <w:rPr>
          <w:rFonts w:hint="eastAsia" w:ascii="宋体" w:hAnsi="宋体" w:eastAsia="宋体" w:cs="宋体"/>
          <w:sz w:val="24"/>
        </w:rPr>
      </w:pPr>
      <w:r>
        <w:rPr>
          <w:rFonts w:hint="eastAsia" w:ascii="宋体" w:hAnsi="宋体" w:eastAsia="宋体" w:cs="宋体"/>
          <w:sz w:val="24"/>
        </w:rPr>
        <w:t>6.1 开箱验收</w:t>
      </w:r>
    </w:p>
    <w:p>
      <w:pPr>
        <w:spacing w:line="360" w:lineRule="auto"/>
        <w:rPr>
          <w:rFonts w:hint="eastAsia" w:ascii="宋体" w:hAnsi="宋体" w:eastAsia="宋体" w:cs="宋体"/>
          <w:sz w:val="24"/>
        </w:rPr>
      </w:pPr>
      <w:r>
        <w:rPr>
          <w:rFonts w:hint="eastAsia" w:ascii="宋体" w:hAnsi="宋体" w:eastAsia="宋体" w:cs="宋体"/>
          <w:sz w:val="24"/>
        </w:rPr>
        <w:t>6.1.1 乙方将设备运抵交付地点当日，乙方应通知甲方对合同设备的外观、型号、数量进行开箱检验，并配合甲方在七日内完成开箱检验。双方就上述内容情况制作开箱检验记录，并予以书面确认。</w:t>
      </w:r>
    </w:p>
    <w:p>
      <w:pPr>
        <w:spacing w:line="360" w:lineRule="auto"/>
        <w:rPr>
          <w:rFonts w:hint="eastAsia" w:ascii="宋体" w:hAnsi="宋体" w:eastAsia="宋体" w:cs="宋体"/>
          <w:sz w:val="24"/>
        </w:rPr>
      </w:pPr>
      <w:r>
        <w:rPr>
          <w:rFonts w:hint="eastAsia" w:ascii="宋体" w:hAnsi="宋体" w:eastAsia="宋体" w:cs="宋体"/>
          <w:sz w:val="24"/>
        </w:rPr>
        <w:t>6.1.2 在开箱检验中如发现设备、应该附带的配件工具、文件资料等有缺、错、损坏的，由乙方在甲方规定的时间内更换或补足。</w:t>
      </w:r>
    </w:p>
    <w:p>
      <w:pPr>
        <w:spacing w:line="360" w:lineRule="auto"/>
        <w:rPr>
          <w:rFonts w:hint="eastAsia" w:ascii="宋体" w:hAnsi="宋体" w:eastAsia="宋体" w:cs="宋体"/>
          <w:sz w:val="24"/>
        </w:rPr>
      </w:pPr>
      <w:r>
        <w:rPr>
          <w:rFonts w:hint="eastAsia" w:ascii="宋体" w:hAnsi="宋体" w:eastAsia="宋体" w:cs="宋体"/>
          <w:sz w:val="24"/>
        </w:rPr>
        <w:t>6.1.3 该检验仅为初步检验，不作为最终质量验收合格的依据，不属于法律意义上的交付。</w:t>
      </w:r>
    </w:p>
    <w:p>
      <w:pPr>
        <w:spacing w:line="360" w:lineRule="auto"/>
        <w:rPr>
          <w:rFonts w:hint="eastAsia" w:ascii="宋体" w:hAnsi="宋体" w:eastAsia="宋体" w:cs="宋体"/>
          <w:sz w:val="24"/>
        </w:rPr>
      </w:pPr>
      <w:r>
        <w:rPr>
          <w:rFonts w:hint="eastAsia" w:ascii="宋体" w:hAnsi="宋体" w:eastAsia="宋体" w:cs="宋体"/>
          <w:sz w:val="24"/>
        </w:rPr>
        <w:t>6.1.4 如乙方提前到货，或者未经甲方同意分批到货，则甲方有权暂不予接收。如甲方接收设备，亦不承担设备的保管责任，不对设备货物甲方不对乙方交付设备，不承担设备毁损、灭失的风险。</w:t>
      </w:r>
    </w:p>
    <w:p>
      <w:pPr>
        <w:spacing w:line="360" w:lineRule="auto"/>
        <w:rPr>
          <w:rFonts w:hint="eastAsia" w:ascii="宋体" w:hAnsi="宋体" w:eastAsia="宋体" w:cs="宋体"/>
          <w:sz w:val="24"/>
        </w:rPr>
      </w:pPr>
      <w:r>
        <w:rPr>
          <w:rFonts w:hint="eastAsia" w:ascii="宋体" w:hAnsi="宋体" w:eastAsia="宋体" w:cs="宋体"/>
          <w:sz w:val="24"/>
        </w:rPr>
        <w:t>6.2 最终验收</w:t>
      </w:r>
    </w:p>
    <w:p>
      <w:pPr>
        <w:spacing w:line="360" w:lineRule="auto"/>
        <w:rPr>
          <w:rFonts w:hint="eastAsia" w:ascii="宋体" w:hAnsi="宋体" w:eastAsia="宋体" w:cs="宋体"/>
          <w:sz w:val="24"/>
        </w:rPr>
      </w:pPr>
      <w:r>
        <w:rPr>
          <w:rFonts w:hint="eastAsia" w:ascii="宋体" w:hAnsi="宋体" w:eastAsia="宋体" w:cs="宋体"/>
          <w:sz w:val="24"/>
        </w:rPr>
        <w:t>6.2.1 甲方应在试运行结束前组织验收，甲方有权委托专业的第三方负责或参加验收事宜，乙方应当配合甲方及第三方的验收工作。本合同专门条款另有约定的从其约定。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6.2.2 设备的安装、调试未通过甲方或政府部门验收（如有），则乙方应当负责整改直至通过甲方和政府部门验收（如有）。整改费用由乙方承担。如乙方拒绝整改的，甲方有权另请第三方整改，由此发生的整改费用从未付货款中直接扣除，不足部分甲方有权向乙方追偿。</w:t>
      </w:r>
    </w:p>
    <w:p>
      <w:pPr>
        <w:spacing w:line="360" w:lineRule="auto"/>
        <w:rPr>
          <w:rFonts w:hint="eastAsia" w:ascii="宋体" w:hAnsi="宋体" w:eastAsia="宋体" w:cs="宋体"/>
          <w:sz w:val="24"/>
        </w:rPr>
      </w:pPr>
      <w:r>
        <w:rPr>
          <w:rFonts w:hint="eastAsia" w:ascii="宋体" w:hAnsi="宋体" w:eastAsia="宋体" w:cs="宋体"/>
          <w:sz w:val="24"/>
        </w:rPr>
        <w:t>6.2.3 设备经安装、调试完毕起至试运行结束前，由甲乙双方根据本协议约定的质量要求及技术指标对设备进行质量验收，并予以书面确认；验收应当在本合同专用条款约定的期限内完成。经前述验收合格后甲乙双方应及时办理设备的正式移交手续，并由甲方书面确认作为设备的正式交付。</w:t>
      </w:r>
    </w:p>
    <w:p>
      <w:pPr>
        <w:spacing w:line="360" w:lineRule="auto"/>
        <w:rPr>
          <w:rFonts w:hint="eastAsia" w:ascii="宋体" w:hAnsi="宋体" w:eastAsia="宋体" w:cs="宋体"/>
          <w:sz w:val="24"/>
        </w:rPr>
      </w:pPr>
      <w:r>
        <w:rPr>
          <w:rFonts w:hint="eastAsia" w:ascii="宋体" w:hAnsi="宋体" w:eastAsia="宋体" w:cs="宋体"/>
          <w:sz w:val="24"/>
        </w:rPr>
        <w:t xml:space="preserve">6.2.4 </w:t>
      </w:r>
      <w:r>
        <w:rPr>
          <w:rFonts w:hint="eastAsia" w:ascii="宋体" w:hAnsi="宋体" w:eastAsia="宋体" w:cs="宋体"/>
          <w:kern w:val="0"/>
          <w:sz w:val="24"/>
        </w:rPr>
        <w:t>乙方负责设备的安装、调试工作，乙方安装、调试的工作必须在本合同第</w:t>
      </w:r>
      <w:r>
        <w:rPr>
          <w:rFonts w:hint="eastAsia" w:ascii="宋体" w:hAnsi="宋体" w:eastAsia="宋体" w:cs="宋体"/>
          <w:sz w:val="24"/>
        </w:rPr>
        <w:t>5.2.1条</w:t>
      </w:r>
      <w:r>
        <w:rPr>
          <w:rFonts w:hint="eastAsia" w:ascii="宋体" w:hAnsi="宋体" w:eastAsia="宋体" w:cs="宋体"/>
          <w:kern w:val="0"/>
          <w:sz w:val="24"/>
        </w:rPr>
        <w:t>约定的时间内完成</w:t>
      </w:r>
      <w:r>
        <w:rPr>
          <w:rFonts w:hint="eastAsia" w:ascii="宋体" w:hAnsi="宋体" w:eastAsia="宋体" w:cs="宋体"/>
          <w:sz w:val="24"/>
        </w:rPr>
        <w:t>；完成须经甲方书面确认。本合同专门条款另有约定的从其约定。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6.4 自乙方安装、调试完毕之日起至最终验收合格之日止，</w:t>
      </w:r>
      <w:r>
        <w:rPr>
          <w:rFonts w:hint="eastAsia" w:ascii="宋体" w:hAnsi="宋体" w:eastAsia="宋体" w:cs="宋体"/>
          <w:kern w:val="0"/>
          <w:sz w:val="24"/>
        </w:rPr>
        <w:t>由乙方须完成</w:t>
      </w:r>
      <w:r>
        <w:rPr>
          <w:rFonts w:hint="eastAsia" w:ascii="宋体" w:hAnsi="宋体" w:eastAsia="宋体" w:cs="宋体"/>
          <w:sz w:val="24"/>
        </w:rPr>
        <w:t>对甲方工作人员进行使用及保养的培训，培训标准要求以甲方工作人员熟练使用和日常维护本设备为最低限度。本合同专门条款另有约定的从其约定。</w:t>
      </w:r>
    </w:p>
    <w:p>
      <w:pPr>
        <w:spacing w:line="360" w:lineRule="auto"/>
        <w:outlineLvl w:val="1"/>
        <w:rPr>
          <w:rFonts w:hint="eastAsia" w:ascii="宋体" w:hAnsi="宋体" w:eastAsia="宋体" w:cs="宋体"/>
          <w:sz w:val="24"/>
        </w:rPr>
      </w:pPr>
      <w:r>
        <w:rPr>
          <w:rFonts w:hint="eastAsia" w:ascii="宋体" w:hAnsi="宋体" w:eastAsia="宋体" w:cs="宋体"/>
          <w:b/>
          <w:sz w:val="24"/>
        </w:rPr>
        <w:t>7.质量保证期</w:t>
      </w:r>
      <w:r>
        <w:rPr>
          <w:rFonts w:hint="eastAsia" w:ascii="宋体" w:hAnsi="宋体" w:eastAsia="宋体" w:cs="宋体"/>
          <w:sz w:val="24"/>
        </w:rPr>
        <w:t>（若有保修手册的，请注明并列为附件）</w:t>
      </w:r>
    </w:p>
    <w:p>
      <w:pPr>
        <w:spacing w:line="360" w:lineRule="auto"/>
        <w:rPr>
          <w:rFonts w:hint="eastAsia" w:ascii="宋体" w:hAnsi="宋体" w:eastAsia="宋体" w:cs="宋体"/>
          <w:sz w:val="24"/>
        </w:rPr>
      </w:pPr>
      <w:r>
        <w:rPr>
          <w:rFonts w:hint="eastAsia" w:ascii="宋体" w:hAnsi="宋体" w:eastAsia="宋体" w:cs="宋体"/>
          <w:sz w:val="24"/>
        </w:rPr>
        <w:t xml:space="preserve">7.1 </w:t>
      </w:r>
      <w:r>
        <w:rPr>
          <w:rFonts w:hint="eastAsia" w:ascii="宋体" w:hAnsi="宋体" w:eastAsia="宋体" w:cs="宋体"/>
          <w:color w:val="auto"/>
          <w:sz w:val="24"/>
        </w:rPr>
        <w:t>本设备质量保证期</w:t>
      </w:r>
      <w:r>
        <w:rPr>
          <w:rFonts w:hint="eastAsia" w:ascii="宋体" w:hAnsi="宋体" w:eastAsia="宋体" w:cs="宋体"/>
          <w:color w:val="auto"/>
          <w:sz w:val="24"/>
          <w:u w:val="single"/>
          <w:lang w:val="en-US" w:eastAsia="zh-CN"/>
        </w:rPr>
        <w:t>两</w:t>
      </w:r>
      <w:r>
        <w:rPr>
          <w:rFonts w:hint="eastAsia" w:ascii="宋体" w:hAnsi="宋体" w:eastAsia="宋体" w:cs="宋体"/>
          <w:color w:val="auto"/>
          <w:sz w:val="24"/>
        </w:rPr>
        <w:t>年，</w:t>
      </w:r>
      <w:r>
        <w:rPr>
          <w:rFonts w:hint="eastAsia" w:ascii="宋体" w:hAnsi="宋体" w:eastAsia="宋体" w:cs="宋体"/>
          <w:sz w:val="24"/>
        </w:rPr>
        <w:t>自设备最终验收通过之日起算。本合同专门条款另有约定的从其约定。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7.2 在质量保证期内，设备出现质量问题，乙方必须及时免费维修，并应按甲方要求免费为其更换部件或修理且承担相应费用；若设备三次以上（包括三次）出现同类质量问题，或同一质量问题乙方在15日以内仍未解决的，或出现其他影响设备使用目的的重大质量问题的，甲方有权要求乙方对本次有问题部件全部进行免费更换。</w:t>
      </w:r>
    </w:p>
    <w:p>
      <w:pPr>
        <w:spacing w:line="360" w:lineRule="auto"/>
        <w:rPr>
          <w:rFonts w:hint="eastAsia" w:ascii="宋体" w:hAnsi="宋体" w:eastAsia="宋体" w:cs="宋体"/>
          <w:sz w:val="24"/>
        </w:rPr>
      </w:pPr>
      <w:r>
        <w:rPr>
          <w:rFonts w:hint="eastAsia" w:ascii="宋体" w:hAnsi="宋体" w:eastAsia="宋体" w:cs="宋体"/>
          <w:sz w:val="24"/>
        </w:rPr>
        <w:t>7.3 乙方收到甲方的维修通知后，并应在12小时内与甲方人员及时联系，赶到设备安装地进行维修，若乙方未在约定的时间响应的，甲方可自行采取补救措施，甲方采取补救措施的费用和因此给甲方造成的所有损失全部由乙方承担。</w:t>
      </w:r>
    </w:p>
    <w:p>
      <w:pPr>
        <w:spacing w:line="360" w:lineRule="auto"/>
        <w:rPr>
          <w:rFonts w:hint="eastAsia" w:ascii="宋体" w:hAnsi="宋体" w:eastAsia="宋体" w:cs="宋体"/>
          <w:sz w:val="24"/>
        </w:rPr>
      </w:pPr>
      <w:r>
        <w:rPr>
          <w:rFonts w:hint="eastAsia" w:ascii="宋体" w:hAnsi="宋体" w:eastAsia="宋体" w:cs="宋体"/>
          <w:sz w:val="24"/>
        </w:rPr>
        <w:t>7.4 质保期以后该设备出现故障或毁损，如甲方要求乙方负责维修或更换零部件的，乙方应当在收到甲方维修通知后按双方商定的时间赶到设备安装地进行维修；乙方可以收取合理的维修和更换设备零配件的费用。</w:t>
      </w:r>
    </w:p>
    <w:p>
      <w:pPr>
        <w:spacing w:line="360" w:lineRule="auto"/>
        <w:rPr>
          <w:rFonts w:hint="eastAsia" w:ascii="宋体" w:hAnsi="宋体" w:eastAsia="宋体" w:cs="宋体"/>
          <w:sz w:val="24"/>
        </w:rPr>
      </w:pPr>
      <w:r>
        <w:rPr>
          <w:rFonts w:hint="eastAsia" w:ascii="宋体" w:hAnsi="宋体" w:eastAsia="宋体" w:cs="宋体"/>
          <w:sz w:val="24"/>
        </w:rPr>
        <w:t>7.5 质保期届满以后，设备因使用或外力作用产生故障，乙方有义务提供有偿维修服务。</w:t>
      </w:r>
    </w:p>
    <w:p>
      <w:pPr>
        <w:spacing w:line="360" w:lineRule="auto"/>
        <w:rPr>
          <w:rFonts w:hint="eastAsia" w:ascii="宋体" w:hAnsi="宋体" w:eastAsia="宋体" w:cs="宋体"/>
          <w:sz w:val="24"/>
        </w:rPr>
      </w:pPr>
      <w:r>
        <w:rPr>
          <w:rFonts w:hint="eastAsia" w:ascii="宋体" w:hAnsi="宋体" w:eastAsia="宋体" w:cs="宋体"/>
          <w:sz w:val="24"/>
        </w:rPr>
        <w:t xml:space="preserve">7.6 </w:t>
      </w:r>
      <w:r>
        <w:rPr>
          <w:rFonts w:hint="eastAsia" w:ascii="宋体" w:hAnsi="宋体" w:eastAsia="宋体" w:cs="宋体"/>
          <w:color w:val="auto"/>
          <w:sz w:val="24"/>
        </w:rPr>
        <w:t>质保期届满以后</w:t>
      </w:r>
      <w:r>
        <w:rPr>
          <w:rFonts w:hint="eastAsia" w:ascii="宋体" w:hAnsi="宋体" w:eastAsia="宋体" w:cs="宋体"/>
          <w:color w:val="auto"/>
          <w:sz w:val="24"/>
          <w:u w:val="single"/>
          <w:lang w:eastAsia="zh-CN"/>
        </w:rPr>
        <w:t>壹</w:t>
      </w:r>
      <w:r>
        <w:rPr>
          <w:rFonts w:hint="eastAsia" w:ascii="宋体" w:hAnsi="宋体" w:eastAsia="宋体" w:cs="宋体"/>
          <w:color w:val="auto"/>
          <w:sz w:val="24"/>
        </w:rPr>
        <w:t>年内，</w:t>
      </w:r>
      <w:r>
        <w:rPr>
          <w:rFonts w:hint="eastAsia" w:ascii="宋体" w:hAnsi="宋体" w:eastAsia="宋体" w:cs="宋体"/>
          <w:sz w:val="24"/>
        </w:rPr>
        <w:t>乙方保证该设备所需零部件等能够正常供应。</w:t>
      </w:r>
    </w:p>
    <w:p>
      <w:pPr>
        <w:spacing w:line="360" w:lineRule="auto"/>
        <w:rPr>
          <w:rFonts w:hint="eastAsia" w:ascii="宋体" w:hAnsi="宋体" w:eastAsia="宋体" w:cs="宋体"/>
          <w:b/>
          <w:bCs/>
          <w:sz w:val="24"/>
        </w:rPr>
      </w:pPr>
      <w:r>
        <w:rPr>
          <w:rFonts w:hint="eastAsia" w:ascii="宋体" w:hAnsi="宋体" w:eastAsia="宋体" w:cs="宋体"/>
          <w:b/>
          <w:bCs/>
          <w:sz w:val="24"/>
        </w:rPr>
        <w:t>8.知识产权</w:t>
      </w:r>
    </w:p>
    <w:p>
      <w:pPr>
        <w:spacing w:line="360" w:lineRule="auto"/>
        <w:rPr>
          <w:rFonts w:hint="eastAsia" w:ascii="宋体" w:hAnsi="宋体" w:eastAsia="宋体" w:cs="宋体"/>
          <w:sz w:val="24"/>
        </w:rPr>
      </w:pPr>
      <w:r>
        <w:rPr>
          <w:rFonts w:hint="eastAsia" w:ascii="宋体" w:hAnsi="宋体" w:eastAsia="宋体" w:cs="宋体"/>
          <w:sz w:val="24"/>
        </w:rPr>
        <w:t>8.1 乙方保证享有所提供设备所需的完整知识产权，并保证甲方对设备的使用、转售不会侵犯任何第三方知识产权。</w:t>
      </w:r>
    </w:p>
    <w:p>
      <w:pPr>
        <w:spacing w:line="360" w:lineRule="auto"/>
        <w:rPr>
          <w:rFonts w:hint="eastAsia" w:ascii="宋体" w:hAnsi="宋体" w:eastAsia="宋体" w:cs="宋体"/>
          <w:sz w:val="24"/>
        </w:rPr>
      </w:pPr>
      <w:r>
        <w:rPr>
          <w:rFonts w:hint="eastAsia" w:ascii="宋体" w:hAnsi="宋体" w:eastAsia="宋体" w:cs="宋体"/>
          <w:sz w:val="24"/>
        </w:rPr>
        <w:t>8.2 该设备如果包含软件或其他知识产权，则应视为软件及知识产权无限期的许可甲方配合该设备使用（费用已经包含在合同价款中）。</w:t>
      </w:r>
    </w:p>
    <w:p>
      <w:pPr>
        <w:spacing w:line="360" w:lineRule="auto"/>
        <w:rPr>
          <w:rFonts w:hint="eastAsia" w:ascii="宋体" w:hAnsi="宋体" w:eastAsia="宋体" w:cs="宋体"/>
          <w:sz w:val="24"/>
        </w:rPr>
      </w:pPr>
      <w:r>
        <w:rPr>
          <w:rFonts w:hint="eastAsia" w:ascii="宋体" w:hAnsi="宋体" w:eastAsia="宋体" w:cs="宋体"/>
          <w:sz w:val="24"/>
        </w:rPr>
        <w:t>8.3 由于设备以及相关零部件产生的知识产权侵权责任，全部由乙方承担。</w:t>
      </w:r>
    </w:p>
    <w:p>
      <w:pPr>
        <w:spacing w:line="360" w:lineRule="auto"/>
        <w:outlineLvl w:val="1"/>
        <w:rPr>
          <w:rFonts w:hint="eastAsia" w:ascii="宋体" w:hAnsi="宋体" w:eastAsia="宋体" w:cs="宋体"/>
          <w:b/>
          <w:sz w:val="24"/>
        </w:rPr>
      </w:pPr>
      <w:r>
        <w:rPr>
          <w:rFonts w:hint="eastAsia" w:ascii="宋体" w:hAnsi="宋体" w:eastAsia="宋体" w:cs="宋体"/>
          <w:b/>
          <w:sz w:val="24"/>
        </w:rPr>
        <w:t>9.违约责任</w:t>
      </w:r>
    </w:p>
    <w:p>
      <w:pPr>
        <w:spacing w:line="360" w:lineRule="auto"/>
        <w:rPr>
          <w:rFonts w:hint="eastAsia" w:ascii="宋体" w:hAnsi="宋体" w:eastAsia="宋体" w:cs="宋体"/>
          <w:sz w:val="24"/>
        </w:rPr>
      </w:pPr>
      <w:r>
        <w:rPr>
          <w:rFonts w:hint="eastAsia" w:ascii="宋体" w:hAnsi="宋体" w:eastAsia="宋体" w:cs="宋体"/>
          <w:sz w:val="24"/>
        </w:rPr>
        <w:t>9.1 除本合同规定的不可抗力以及经协商并取得甲方书面同意延期交货外，乙方逾期交货的, 乙方应承担第9.1.1条规定的违约责任，且赔偿甲方因此造成的全部经济损失。本合同专门条款另有约定的从其约定。</w:t>
      </w:r>
    </w:p>
    <w:p>
      <w:pPr>
        <w:spacing w:line="360" w:lineRule="auto"/>
        <w:rPr>
          <w:rFonts w:hint="eastAsia" w:ascii="宋体" w:hAnsi="宋体" w:eastAsia="宋体" w:cs="宋体"/>
          <w:sz w:val="24"/>
        </w:rPr>
      </w:pPr>
      <w:r>
        <w:rPr>
          <w:rFonts w:hint="eastAsia" w:ascii="宋体" w:hAnsi="宋体" w:eastAsia="宋体" w:cs="宋体"/>
          <w:sz w:val="24"/>
        </w:rPr>
        <w:t>9.1.1乙方逾期交货</w:t>
      </w:r>
      <w:r>
        <w:rPr>
          <w:rFonts w:hint="eastAsia" w:ascii="宋体" w:hAnsi="宋体" w:eastAsia="宋体" w:cs="宋体"/>
          <w:sz w:val="24"/>
          <w:lang w:val="en-US" w:eastAsia="zh-CN"/>
        </w:rPr>
        <w:t>或甲方逾期提货超出三个月双方协商解决</w:t>
      </w:r>
      <w:r>
        <w:rPr>
          <w:rFonts w:hint="eastAsia" w:ascii="宋体" w:hAnsi="宋体" w:eastAsia="宋体" w:cs="宋体"/>
          <w:sz w:val="24"/>
        </w:rPr>
        <w:t>，同时仍应履行交货义务。</w:t>
      </w:r>
    </w:p>
    <w:p>
      <w:pPr>
        <w:spacing w:line="360" w:lineRule="auto"/>
        <w:rPr>
          <w:rFonts w:hint="eastAsia" w:ascii="宋体" w:hAnsi="宋体" w:eastAsia="宋体" w:cs="宋体"/>
          <w:sz w:val="24"/>
        </w:rPr>
      </w:pPr>
      <w:r>
        <w:rPr>
          <w:rFonts w:hint="eastAsia" w:ascii="宋体" w:hAnsi="宋体" w:eastAsia="宋体" w:cs="宋体"/>
          <w:sz w:val="24"/>
        </w:rPr>
        <w:t>9.2 乙方设备质量不符合要求的（包括但不限于：乙方未能按合同约定交付设备、交付的设备质量不符合本合同约定、设备验收不通过等），甲方有权向乙方主张下列全部或部分权利：</w:t>
      </w:r>
    </w:p>
    <w:p>
      <w:pPr>
        <w:spacing w:line="360" w:lineRule="auto"/>
        <w:rPr>
          <w:rFonts w:hint="eastAsia" w:ascii="宋体" w:hAnsi="宋体" w:eastAsia="宋体" w:cs="宋体"/>
          <w:sz w:val="24"/>
        </w:rPr>
      </w:pPr>
      <w:r>
        <w:rPr>
          <w:rFonts w:hint="eastAsia" w:ascii="宋体" w:hAnsi="宋体" w:eastAsia="宋体" w:cs="宋体"/>
          <w:sz w:val="24"/>
        </w:rPr>
        <w:t>（1）甲方有权解除合同，乙方应将甲方支付的全部货款退回给甲方，并向甲方支付违约金为合同总价的5%。违约金不足以赔偿甲方损失的，还应赔偿甲方全部损失。</w:t>
      </w:r>
    </w:p>
    <w:p>
      <w:pPr>
        <w:spacing w:line="360" w:lineRule="auto"/>
        <w:rPr>
          <w:rFonts w:hint="eastAsia" w:ascii="宋体" w:hAnsi="宋体" w:eastAsia="宋体" w:cs="宋体"/>
          <w:sz w:val="24"/>
        </w:rPr>
      </w:pPr>
      <w:r>
        <w:rPr>
          <w:rFonts w:hint="eastAsia" w:ascii="宋体" w:hAnsi="宋体" w:eastAsia="宋体" w:cs="宋体"/>
          <w:sz w:val="24"/>
        </w:rPr>
        <w:t>（2）若甲方要求继续履行合同的，乙方应继续履行，并按逾期交付设备的时间，以每日千分之四向甲方支付违约金，乙方支付违约金不超过设备总价款10%。</w:t>
      </w:r>
    </w:p>
    <w:p>
      <w:pPr>
        <w:spacing w:line="360" w:lineRule="auto"/>
        <w:rPr>
          <w:rFonts w:hint="eastAsia" w:ascii="宋体" w:hAnsi="宋体" w:eastAsia="宋体" w:cs="宋体"/>
          <w:sz w:val="24"/>
        </w:rPr>
      </w:pPr>
      <w:r>
        <w:rPr>
          <w:rFonts w:hint="eastAsia" w:ascii="宋体" w:hAnsi="宋体" w:eastAsia="宋体" w:cs="宋体"/>
          <w:sz w:val="24"/>
        </w:rPr>
        <w:t>9.3 乙方违反本合同约定，甲方有权选择要求乙方承担责任的方式：如继续履行、赔偿损失、解除合同或扣除质保金等。</w:t>
      </w:r>
    </w:p>
    <w:p>
      <w:pPr>
        <w:spacing w:line="360" w:lineRule="auto"/>
        <w:rPr>
          <w:rFonts w:hint="eastAsia" w:ascii="宋体" w:hAnsi="宋体" w:eastAsia="宋体" w:cs="宋体"/>
          <w:sz w:val="24"/>
        </w:rPr>
      </w:pPr>
      <w:r>
        <w:rPr>
          <w:rFonts w:hint="eastAsia" w:ascii="宋体" w:hAnsi="宋体" w:eastAsia="宋体" w:cs="宋体"/>
          <w:sz w:val="24"/>
        </w:rPr>
        <w:t>9.4  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spacing w:line="360" w:lineRule="auto"/>
        <w:rPr>
          <w:rFonts w:hint="eastAsia" w:ascii="宋体" w:hAnsi="宋体" w:eastAsia="宋体" w:cs="宋体"/>
          <w:b/>
          <w:sz w:val="24"/>
        </w:rPr>
      </w:pPr>
      <w:r>
        <w:rPr>
          <w:rFonts w:hint="eastAsia" w:ascii="宋体" w:hAnsi="宋体" w:eastAsia="宋体" w:cs="宋体"/>
          <w:b/>
          <w:sz w:val="24"/>
        </w:rPr>
        <w:t>10. 通知</w:t>
      </w:r>
    </w:p>
    <w:p>
      <w:pPr>
        <w:spacing w:line="360" w:lineRule="auto"/>
        <w:rPr>
          <w:rFonts w:hint="eastAsia" w:ascii="宋体" w:hAnsi="宋体" w:eastAsia="宋体" w:cs="宋体"/>
          <w:sz w:val="24"/>
        </w:rPr>
      </w:pPr>
      <w:r>
        <w:rPr>
          <w:rFonts w:hint="eastAsia" w:ascii="宋体" w:hAnsi="宋体" w:eastAsia="宋体" w:cs="宋体"/>
          <w:sz w:val="24"/>
        </w:rPr>
        <w:t>10.1 根据本合同需要发出的全部通知以及双方的文件往来等，必须用书面形式，可根据本合同首部记载的联系方式采用微信、信函、传真、电子邮件、当面送交等方式传递。以上方式无法送达的，可采取公告送达的方式。</w:t>
      </w:r>
    </w:p>
    <w:p>
      <w:pPr>
        <w:spacing w:line="360" w:lineRule="auto"/>
        <w:rPr>
          <w:rFonts w:hint="eastAsia" w:ascii="宋体" w:hAnsi="宋体" w:eastAsia="宋体" w:cs="宋体"/>
          <w:sz w:val="24"/>
        </w:rPr>
      </w:pPr>
      <w:r>
        <w:rPr>
          <w:rFonts w:hint="eastAsia" w:ascii="宋体" w:hAnsi="宋体" w:eastAsia="宋体" w:cs="宋体"/>
          <w:sz w:val="24"/>
        </w:rPr>
        <w:t>10.2 一方变更联系方式，应自变更之日起十五天内，以书面形式通知对方，否则由未通知方承担由此而引起的相应责任。</w:t>
      </w:r>
    </w:p>
    <w:p>
      <w:pPr>
        <w:spacing w:line="360" w:lineRule="auto"/>
        <w:outlineLvl w:val="1"/>
        <w:rPr>
          <w:rFonts w:hint="eastAsia" w:ascii="宋体" w:hAnsi="宋体" w:eastAsia="宋体" w:cs="宋体"/>
          <w:b/>
          <w:sz w:val="24"/>
        </w:rPr>
      </w:pPr>
      <w:r>
        <w:rPr>
          <w:rFonts w:hint="eastAsia" w:ascii="宋体" w:hAnsi="宋体" w:eastAsia="宋体" w:cs="宋体"/>
          <w:b/>
          <w:sz w:val="24"/>
        </w:rPr>
        <w:t>11.不可抗力</w:t>
      </w:r>
    </w:p>
    <w:p>
      <w:pPr>
        <w:spacing w:line="360" w:lineRule="auto"/>
        <w:rPr>
          <w:rFonts w:hint="eastAsia" w:ascii="宋体" w:hAnsi="宋体" w:eastAsia="宋体" w:cs="宋体"/>
          <w:sz w:val="24"/>
        </w:rPr>
      </w:pPr>
      <w:r>
        <w:rPr>
          <w:rFonts w:hint="eastAsia" w:ascii="宋体" w:hAnsi="宋体" w:eastAsia="宋体" w:cs="宋体"/>
          <w:sz w:val="24"/>
        </w:rPr>
        <w:t>11.1 本合同所指的不可抗力是指严重的自然灾害和灾难（如台风、洪水、地震、火灾和爆炸等）、战争、叛乱、动乱等。合同双方中的任何一方，由于不可抗力事件而影响合同义务的履行时，则延迟履行合同义务的期限相当于不可抗力事件影响的时间，但是不能因为不可抗力的延迟而调整合同价格。</w:t>
      </w:r>
    </w:p>
    <w:p>
      <w:pPr>
        <w:spacing w:line="360" w:lineRule="auto"/>
        <w:rPr>
          <w:rFonts w:hint="eastAsia" w:ascii="宋体" w:hAnsi="宋体" w:eastAsia="宋体" w:cs="宋体"/>
          <w:sz w:val="24"/>
        </w:rPr>
      </w:pPr>
      <w:r>
        <w:rPr>
          <w:rFonts w:hint="eastAsia" w:ascii="宋体" w:hAnsi="宋体" w:eastAsia="宋体" w:cs="宋体"/>
          <w:sz w:val="24"/>
        </w:rPr>
        <w:t>11.2 如因不可抗力事件的发生导致合同无法履行时，遇不可抗力的一方应立即将事故情况书面告知另一方，并应在三十天内，提供事故详情及合同不能履行或者需要延期履行的书面资料，双方认可后协商终止合同或暂时延迟合同的履行。因不可抗力造成的损失，甲乙双方各自承担。</w:t>
      </w:r>
    </w:p>
    <w:p>
      <w:pPr>
        <w:spacing w:line="360" w:lineRule="auto"/>
        <w:outlineLvl w:val="1"/>
        <w:rPr>
          <w:rFonts w:hint="eastAsia" w:ascii="宋体" w:hAnsi="宋体" w:eastAsia="宋体" w:cs="宋体"/>
          <w:b/>
          <w:sz w:val="24"/>
        </w:rPr>
      </w:pPr>
      <w:r>
        <w:rPr>
          <w:rFonts w:hint="eastAsia" w:ascii="宋体" w:hAnsi="宋体" w:eastAsia="宋体" w:cs="宋体"/>
          <w:b/>
          <w:sz w:val="24"/>
        </w:rPr>
        <w:t>12.适用法律及争议解决</w:t>
      </w:r>
    </w:p>
    <w:p>
      <w:pPr>
        <w:spacing w:line="360" w:lineRule="auto"/>
        <w:rPr>
          <w:rFonts w:hint="eastAsia" w:ascii="宋体" w:hAnsi="宋体" w:eastAsia="宋体" w:cs="宋体"/>
          <w:sz w:val="24"/>
        </w:rPr>
      </w:pPr>
      <w:r>
        <w:rPr>
          <w:rFonts w:hint="eastAsia" w:ascii="宋体" w:hAnsi="宋体" w:eastAsia="宋体" w:cs="宋体"/>
          <w:sz w:val="24"/>
        </w:rPr>
        <w:t>12.1 本合同只适用中华人民共和国法律（不包括香港、澳门、台湾）。</w:t>
      </w:r>
    </w:p>
    <w:p>
      <w:pPr>
        <w:spacing w:line="360" w:lineRule="auto"/>
        <w:rPr>
          <w:rFonts w:hint="eastAsia" w:ascii="宋体" w:hAnsi="宋体" w:eastAsia="宋体" w:cs="宋体"/>
          <w:sz w:val="24"/>
        </w:rPr>
      </w:pPr>
      <w:r>
        <w:rPr>
          <w:rFonts w:hint="eastAsia" w:ascii="宋体" w:hAnsi="宋体" w:eastAsia="宋体" w:cs="宋体"/>
          <w:sz w:val="24"/>
        </w:rPr>
        <w:t>12.2 凡由本合同引起的或与解释或执行本合同有关的任何争议，双方应首先通过友好协商或调解解决。协商或调解不成，双方同意由甲方所在地人民法院管辖。</w:t>
      </w:r>
    </w:p>
    <w:p>
      <w:pPr>
        <w:spacing w:line="360" w:lineRule="auto"/>
        <w:jc w:val="left"/>
        <w:outlineLvl w:val="1"/>
        <w:rPr>
          <w:rFonts w:hint="eastAsia" w:ascii="宋体" w:hAnsi="宋体" w:eastAsia="宋体" w:cs="宋体"/>
          <w:b/>
          <w:bCs/>
          <w:sz w:val="24"/>
        </w:rPr>
      </w:pPr>
      <w:r>
        <w:rPr>
          <w:rFonts w:hint="eastAsia" w:ascii="宋体" w:hAnsi="宋体" w:eastAsia="宋体" w:cs="宋体"/>
          <w:b/>
          <w:bCs/>
          <w:sz w:val="24"/>
        </w:rPr>
        <w:t>14.技术约定</w:t>
      </w:r>
    </w:p>
    <w:p>
      <w:pPr>
        <w:spacing w:line="360" w:lineRule="auto"/>
        <w:jc w:val="left"/>
        <w:rPr>
          <w:rFonts w:hint="eastAsia" w:ascii="宋体" w:hAnsi="宋体" w:eastAsia="宋体" w:cs="宋体"/>
          <w:sz w:val="24"/>
        </w:rPr>
      </w:pPr>
      <w:r>
        <w:rPr>
          <w:rFonts w:hint="eastAsia" w:ascii="宋体" w:hAnsi="宋体" w:eastAsia="宋体" w:cs="宋体"/>
          <w:sz w:val="24"/>
        </w:rPr>
        <w:t>14.1 本合同约定的设备的清单、技术参数、配置说明、自控说明、质量标准等，由双方在《技术协议》进行详细约定。若本合同约定的技术标准与《技术协议》的标准有出入的，以较高的质量标准为准。</w:t>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15.其他</w:t>
      </w:r>
    </w:p>
    <w:p>
      <w:pPr>
        <w:spacing w:line="360" w:lineRule="auto"/>
        <w:rPr>
          <w:rFonts w:hint="eastAsia" w:ascii="宋体" w:hAnsi="宋体" w:eastAsia="宋体" w:cs="宋体"/>
          <w:sz w:val="24"/>
        </w:rPr>
      </w:pPr>
      <w:r>
        <w:rPr>
          <w:rFonts w:hint="eastAsia" w:ascii="宋体" w:hAnsi="宋体" w:eastAsia="宋体" w:cs="宋体"/>
          <w:sz w:val="24"/>
        </w:rPr>
        <w:t>15.1 本合同的部分条款若被认定为无效，该条款的无效性并不影响其他条款的效力。</w:t>
      </w:r>
    </w:p>
    <w:p>
      <w:pPr>
        <w:spacing w:line="360" w:lineRule="auto"/>
        <w:rPr>
          <w:rFonts w:hint="eastAsia" w:ascii="宋体" w:hAnsi="宋体" w:eastAsia="宋体" w:cs="宋体"/>
          <w:sz w:val="24"/>
        </w:rPr>
      </w:pPr>
      <w:r>
        <w:rPr>
          <w:rFonts w:hint="eastAsia" w:ascii="宋体" w:hAnsi="宋体" w:eastAsia="宋体" w:cs="宋体"/>
          <w:sz w:val="24"/>
        </w:rPr>
        <w:t>15.2 本合同的有效弃权须经弃权方书面签署；一方因任何原因疏忽、延误了对某项权利的行使，或对另一方违约或侵权行为的追究，并不表示其已经放弃该项权利，也不表明其对以后发生的事件也放弃追究。</w:t>
      </w:r>
    </w:p>
    <w:p>
      <w:pPr>
        <w:spacing w:line="360" w:lineRule="auto"/>
        <w:rPr>
          <w:rFonts w:hint="eastAsia" w:ascii="宋体" w:hAnsi="宋体" w:eastAsia="宋体" w:cs="宋体"/>
          <w:sz w:val="24"/>
        </w:rPr>
      </w:pPr>
      <w:r>
        <w:rPr>
          <w:rFonts w:hint="eastAsia" w:ascii="宋体" w:hAnsi="宋体" w:eastAsia="宋体" w:cs="宋体"/>
          <w:sz w:val="24"/>
        </w:rPr>
        <w:t>15.3 除非发生法定事由，未经对方书面同意，任何一方不得将本合同项下的权利义务转让给第三方。</w:t>
      </w:r>
    </w:p>
    <w:p>
      <w:pPr>
        <w:spacing w:line="360" w:lineRule="auto"/>
        <w:rPr>
          <w:rFonts w:hint="eastAsia" w:ascii="宋体" w:hAnsi="宋体" w:eastAsia="宋体" w:cs="宋体"/>
          <w:sz w:val="24"/>
        </w:rPr>
      </w:pPr>
      <w:r>
        <w:rPr>
          <w:rFonts w:hint="eastAsia" w:ascii="宋体" w:hAnsi="宋体" w:eastAsia="宋体" w:cs="宋体"/>
          <w:sz w:val="24"/>
        </w:rPr>
        <w:t>15.4 非经甲方事先书面同意，乙方不得将甲方在本合同签署及履行过程中的任何标准、规范、计划、图纸、样品、资料或其他信息披露给任何第三人；乙方向与执行本合同的有关人员提供上述文件时，应保证有关人员遵守保密义务；由于乙方原因引起泄密而造成甲方损失的，应由乙方赔偿全部损失。本条款构成独立的保密协议。本条款的义务不因本合同的终止而终止。</w:t>
      </w:r>
    </w:p>
    <w:p>
      <w:pPr>
        <w:spacing w:line="360" w:lineRule="auto"/>
        <w:rPr>
          <w:rFonts w:hint="eastAsia" w:ascii="宋体" w:hAnsi="宋体" w:eastAsia="宋体" w:cs="宋体"/>
          <w:sz w:val="24"/>
        </w:rPr>
      </w:pPr>
      <w:r>
        <w:rPr>
          <w:rFonts w:hint="eastAsia" w:ascii="宋体" w:hAnsi="宋体" w:eastAsia="宋体" w:cs="宋体"/>
          <w:sz w:val="24"/>
        </w:rPr>
        <w:t>15.5 本合同生效后，无论甲方或乙方的名称、组织形式、企业性质、经营范围、注册资本、投资者等发生任何变更，甲方或乙方应继续或要求其权利义务的继承人恪守并履行其在本合同项下之相关义务。</w:t>
      </w:r>
    </w:p>
    <w:p>
      <w:pPr>
        <w:spacing w:line="360" w:lineRule="auto"/>
        <w:rPr>
          <w:rFonts w:hint="eastAsia" w:ascii="宋体" w:hAnsi="宋体" w:eastAsia="宋体" w:cs="宋体"/>
          <w:sz w:val="24"/>
        </w:rPr>
      </w:pPr>
      <w:r>
        <w:rPr>
          <w:rFonts w:hint="eastAsia" w:ascii="宋体" w:hAnsi="宋体" w:eastAsia="宋体" w:cs="宋体"/>
          <w:sz w:val="24"/>
        </w:rPr>
        <w:t>15.6 对本合同的任何修改及补充必须以书面形式做出，并经双方同意及签章确认，经确认的修改及补充文件为本合同的有效组成部分。</w:t>
      </w:r>
    </w:p>
    <w:p>
      <w:pPr>
        <w:spacing w:line="360" w:lineRule="auto"/>
        <w:rPr>
          <w:rFonts w:hint="eastAsia" w:ascii="宋体" w:hAnsi="宋体" w:eastAsia="宋体" w:cs="宋体"/>
          <w:sz w:val="24"/>
        </w:rPr>
      </w:pPr>
      <w:r>
        <w:rPr>
          <w:rFonts w:hint="eastAsia" w:ascii="宋体" w:hAnsi="宋体" w:eastAsia="宋体" w:cs="宋体"/>
          <w:sz w:val="24"/>
        </w:rPr>
        <w:t>15.7 若本合同未明确载明生效日期，则自本合同于双方签章之日起生效。</w:t>
      </w:r>
    </w:p>
    <w:p>
      <w:pPr>
        <w:spacing w:line="360" w:lineRule="auto"/>
        <w:jc w:val="left"/>
        <w:rPr>
          <w:rFonts w:hint="eastAsia" w:ascii="宋体" w:hAnsi="宋体" w:eastAsia="宋体" w:cs="宋体"/>
          <w:sz w:val="24"/>
        </w:rPr>
      </w:pPr>
      <w:r>
        <w:rPr>
          <w:rFonts w:hint="eastAsia" w:ascii="宋体" w:hAnsi="宋体" w:eastAsia="宋体" w:cs="宋体"/>
          <w:sz w:val="24"/>
        </w:rPr>
        <w:t>15.8 本合同一式</w:t>
      </w:r>
      <w:r>
        <w:rPr>
          <w:rFonts w:hint="eastAsia" w:ascii="宋体" w:hAnsi="宋体" w:eastAsia="宋体" w:cs="宋体"/>
          <w:sz w:val="24"/>
          <w:u w:val="single"/>
          <w:lang w:val="en-US" w:eastAsia="zh-CN"/>
        </w:rPr>
        <w:t>2</w:t>
      </w:r>
      <w:r>
        <w:rPr>
          <w:rFonts w:hint="eastAsia" w:ascii="宋体" w:hAnsi="宋体" w:eastAsia="宋体" w:cs="宋体"/>
          <w:sz w:val="24"/>
        </w:rPr>
        <w:t>份，甲乙双方各执</w:t>
      </w:r>
      <w:r>
        <w:rPr>
          <w:rFonts w:hint="eastAsia" w:ascii="宋体" w:hAnsi="宋体" w:eastAsia="宋体" w:cs="宋体"/>
          <w:sz w:val="24"/>
          <w:u w:val="single"/>
          <w:lang w:val="en-US" w:eastAsia="zh-CN"/>
        </w:rPr>
        <w:t>1</w:t>
      </w:r>
      <w:r>
        <w:rPr>
          <w:rFonts w:hint="eastAsia" w:ascii="宋体" w:hAnsi="宋体" w:eastAsia="宋体" w:cs="宋体"/>
          <w:sz w:val="24"/>
        </w:rPr>
        <w:t>份，具同等法律效力。</w:t>
      </w:r>
    </w:p>
    <w:p>
      <w:pPr>
        <w:spacing w:line="360" w:lineRule="auto"/>
        <w:jc w:val="center"/>
        <w:outlineLvl w:val="0"/>
        <w:rPr>
          <w:rFonts w:hint="eastAsia" w:ascii="宋体" w:hAnsi="宋体" w:eastAsia="宋体" w:cs="宋体"/>
          <w:b/>
          <w:sz w:val="24"/>
        </w:rPr>
      </w:pPr>
    </w:p>
    <w:p>
      <w:pPr>
        <w:spacing w:line="360" w:lineRule="auto"/>
        <w:jc w:val="center"/>
        <w:outlineLvl w:val="0"/>
        <w:rPr>
          <w:rFonts w:hint="eastAsia" w:ascii="宋体" w:hAnsi="宋体" w:eastAsia="宋体" w:cs="宋体"/>
          <w:b/>
          <w:sz w:val="24"/>
        </w:rPr>
      </w:pPr>
      <w:bookmarkStart w:id="196" w:name="_Toc10482"/>
      <w:bookmarkStart w:id="197" w:name="_Toc29986"/>
      <w:r>
        <w:rPr>
          <w:rFonts w:hint="eastAsia" w:ascii="宋体" w:hAnsi="宋体" w:eastAsia="宋体" w:cs="宋体"/>
          <w:b/>
          <w:sz w:val="24"/>
        </w:rPr>
        <w:t>第二章  专门条款</w:t>
      </w:r>
      <w:bookmarkEnd w:id="196"/>
      <w:bookmarkEnd w:id="197"/>
    </w:p>
    <w:p>
      <w:pPr>
        <w:spacing w:line="360" w:lineRule="auto"/>
        <w:outlineLvl w:val="1"/>
        <w:rPr>
          <w:rFonts w:hint="eastAsia" w:ascii="宋体" w:hAnsi="宋体" w:eastAsia="宋体" w:cs="宋体"/>
          <w:b/>
          <w:sz w:val="24"/>
        </w:rPr>
      </w:pPr>
      <w:r>
        <w:rPr>
          <w:rFonts w:hint="eastAsia" w:ascii="宋体" w:hAnsi="宋体" w:eastAsia="宋体" w:cs="宋体"/>
          <w:b/>
          <w:sz w:val="24"/>
        </w:rPr>
        <w:t>1.合同标的</w:t>
      </w:r>
    </w:p>
    <w:p>
      <w:pPr>
        <w:pStyle w:val="15"/>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color w:val="000000"/>
          <w:sz w:val="24"/>
        </w:rPr>
        <w:t>1.1本合同甲方向乙方采购</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成套系统设备。</w:t>
      </w:r>
    </w:p>
    <w:p>
      <w:pPr>
        <w:pStyle w:val="15"/>
        <w:numPr>
          <w:ilvl w:val="1"/>
          <w:numId w:val="3"/>
        </w:numPr>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color w:val="000000"/>
          <w:sz w:val="24"/>
        </w:rPr>
        <w:t>供货范围包括</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成套系统设备及附件的供货及安装，包括但不限于按技术规范和要求完成全部供货设备及附件的制作、运输、到场卸货、吊装、二次搬运、安装、调试、验收、移交、保修等全部及相关工作内容。</w:t>
      </w:r>
    </w:p>
    <w:p>
      <w:pPr>
        <w:pStyle w:val="15"/>
        <w:numPr>
          <w:ilvl w:val="1"/>
          <w:numId w:val="3"/>
        </w:numPr>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b/>
          <w:color w:val="000000"/>
          <w:u w:val="single"/>
        </w:rPr>
        <w:t>产品名称、规格型号、数量、计量单位、单价、金额</w:t>
      </w:r>
    </w:p>
    <w:tbl>
      <w:tblPr>
        <w:tblStyle w:val="18"/>
        <w:tblpPr w:leftFromText="180" w:rightFromText="180" w:vertAnchor="text" w:horzAnchor="margin" w:tblpXSpec="center" w:tblpY="40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700"/>
        <w:gridCol w:w="562"/>
        <w:gridCol w:w="593"/>
        <w:gridCol w:w="1267"/>
        <w:gridCol w:w="150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9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产品名称</w:t>
            </w:r>
          </w:p>
        </w:tc>
        <w:tc>
          <w:tcPr>
            <w:tcW w:w="9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3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合计（元）</w:t>
            </w:r>
          </w:p>
        </w:tc>
        <w:tc>
          <w:tcPr>
            <w:tcW w:w="7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生产商</w:t>
            </w:r>
            <w:r>
              <w:rPr>
                <w:rFonts w:hint="eastAsia" w:ascii="宋体" w:hAnsi="宋体" w:eastAsia="宋体" w:cs="宋体"/>
                <w:color w:val="000000"/>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6"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 w:val="0"/>
                <w:bCs w:val="0"/>
                <w:color w:val="000000"/>
                <w:sz w:val="24"/>
                <w:szCs w:val="24"/>
                <w:lang w:val="en-US" w:eastAsia="zh-CN"/>
              </w:rPr>
            </w:pPr>
          </w:p>
        </w:tc>
        <w:tc>
          <w:tcPr>
            <w:tcW w:w="99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eastAsia="宋体" w:cs="宋体"/>
                <w:b w:val="0"/>
                <w:bCs w:val="0"/>
                <w:kern w:val="2"/>
                <w:sz w:val="24"/>
                <w:szCs w:val="24"/>
                <w:lang w:val="en-US" w:eastAsia="zh-CN" w:bidi="ar-SA"/>
              </w:rPr>
            </w:pPr>
          </w:p>
        </w:tc>
        <w:tc>
          <w:tcPr>
            <w:tcW w:w="33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val="0"/>
                <w:bCs w:val="0"/>
                <w:color w:val="000000"/>
                <w:kern w:val="2"/>
                <w:sz w:val="24"/>
                <w:szCs w:val="24"/>
                <w:lang w:val="en-US" w:eastAsia="zh-CN" w:bidi="ar-SA"/>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eastAsia="宋体" w:cs="宋体"/>
                <w:b w:val="0"/>
                <w:bCs w:val="0"/>
                <w:color w:val="000000"/>
                <w:kern w:val="2"/>
                <w:sz w:val="24"/>
                <w:szCs w:val="24"/>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4"/>
                <w:szCs w:val="24"/>
                <w:lang w:val="en-US" w:eastAsia="zh-CN" w:bidi="ar-SA"/>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4"/>
                <w:szCs w:val="24"/>
                <w:lang w:val="en-US" w:eastAsia="zh-CN" w:bidi="ar-SA"/>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6"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 w:val="0"/>
                <w:bCs w:val="0"/>
                <w:color w:val="000000"/>
                <w:sz w:val="24"/>
                <w:szCs w:val="24"/>
              </w:rPr>
            </w:pPr>
          </w:p>
        </w:tc>
        <w:tc>
          <w:tcPr>
            <w:tcW w:w="99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eastAsia="宋体" w:cs="宋体"/>
                <w:b w:val="0"/>
                <w:bCs w:val="0"/>
                <w:color w:val="000000"/>
                <w:sz w:val="24"/>
                <w:szCs w:val="24"/>
              </w:rPr>
            </w:pPr>
          </w:p>
        </w:tc>
        <w:tc>
          <w:tcPr>
            <w:tcW w:w="33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val="0"/>
                <w:bCs w:val="0"/>
                <w:color w:val="000000"/>
                <w:kern w:val="2"/>
                <w:sz w:val="24"/>
                <w:szCs w:val="24"/>
                <w:lang w:val="en-US" w:eastAsia="zh-CN" w:bidi="ar-SA"/>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eastAsia="宋体" w:cs="宋体"/>
                <w:b w:val="0"/>
                <w:bCs w:val="0"/>
                <w:color w:val="000000"/>
                <w:kern w:val="2"/>
                <w:sz w:val="24"/>
                <w:szCs w:val="24"/>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4"/>
                <w:szCs w:val="24"/>
                <w:lang w:val="en-US" w:eastAsia="zh-CN" w:bidi="ar-SA"/>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4"/>
                <w:szCs w:val="24"/>
                <w:lang w:val="en-US" w:eastAsia="zh-CN" w:bidi="ar-SA"/>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p>
        </w:tc>
      </w:tr>
    </w:tbl>
    <w:p>
      <w:pPr>
        <w:pStyle w:val="15"/>
        <w:spacing w:before="0" w:beforeAutospacing="0" w:after="0" w:afterAutospacing="0"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设备采购名称、数量等技术参数要求（详细见《技术</w:t>
      </w:r>
      <w:r>
        <w:rPr>
          <w:rFonts w:hint="eastAsia" w:ascii="宋体" w:hAnsi="宋体" w:eastAsia="宋体" w:cs="宋体"/>
          <w:color w:val="000000"/>
          <w:sz w:val="24"/>
          <w:lang w:val="en-US" w:eastAsia="zh-CN"/>
        </w:rPr>
        <w:t>协议</w:t>
      </w:r>
      <w:r>
        <w:rPr>
          <w:rFonts w:hint="eastAsia" w:ascii="宋体" w:hAnsi="宋体" w:eastAsia="宋体" w:cs="宋体"/>
          <w:color w:val="000000"/>
          <w:sz w:val="24"/>
        </w:rPr>
        <w:t>》</w:t>
      </w:r>
      <w:r>
        <w:rPr>
          <w:rFonts w:hint="eastAsia" w:ascii="宋体" w:hAnsi="宋体" w:eastAsia="宋体" w:cs="宋体"/>
          <w:color w:val="000000"/>
          <w:sz w:val="24"/>
          <w:lang w:eastAsia="zh-CN"/>
        </w:rPr>
        <w:t>）</w:t>
      </w:r>
    </w:p>
    <w:p>
      <w:pPr>
        <w:spacing w:line="360" w:lineRule="auto"/>
        <w:outlineLvl w:val="1"/>
        <w:rPr>
          <w:rFonts w:hint="eastAsia" w:ascii="宋体" w:hAnsi="宋体" w:eastAsia="宋体" w:cs="宋体"/>
          <w:b/>
          <w:sz w:val="24"/>
        </w:rPr>
      </w:pPr>
      <w:r>
        <w:rPr>
          <w:rFonts w:hint="eastAsia" w:ascii="宋体" w:hAnsi="宋体" w:eastAsia="宋体" w:cs="宋体"/>
          <w:b/>
          <w:sz w:val="24"/>
        </w:rPr>
        <w:t>2.合同标的及价款</w:t>
      </w:r>
    </w:p>
    <w:p>
      <w:pPr>
        <w:spacing w:line="360" w:lineRule="auto"/>
        <w:outlineLvl w:val="1"/>
        <w:rPr>
          <w:rFonts w:hint="eastAsia" w:ascii="宋体" w:hAnsi="宋体" w:eastAsia="宋体" w:cs="宋体"/>
          <w:bCs/>
          <w:sz w:val="24"/>
        </w:rPr>
      </w:pPr>
      <w:r>
        <w:rPr>
          <w:rFonts w:hint="eastAsia" w:ascii="宋体" w:hAnsi="宋体" w:eastAsia="宋体" w:cs="宋体"/>
          <w:bCs/>
          <w:sz w:val="24"/>
        </w:rPr>
        <w:t>2.1 合同价款</w:t>
      </w:r>
    </w:p>
    <w:p>
      <w:pPr>
        <w:spacing w:line="360" w:lineRule="auto"/>
        <w:outlineLvl w:val="1"/>
        <w:rPr>
          <w:rFonts w:hint="eastAsia" w:ascii="宋体" w:hAnsi="宋体" w:eastAsia="宋体" w:cs="宋体"/>
          <w:bCs/>
          <w:sz w:val="24"/>
        </w:rPr>
      </w:pPr>
      <w:r>
        <w:rPr>
          <w:rFonts w:hint="eastAsia" w:ascii="宋体" w:hAnsi="宋体" w:eastAsia="宋体" w:cs="宋体"/>
          <w:bCs/>
          <w:sz w:val="24"/>
        </w:rPr>
        <w:t>2.2 本合同标的对应合同总价款为：人民币（</w:t>
      </w:r>
      <w:r>
        <w:rPr>
          <w:rFonts w:hint="eastAsia" w:ascii="宋体" w:hAnsi="宋体" w:eastAsia="宋体" w:cs="宋体"/>
          <w:b w:val="0"/>
          <w:bCs/>
          <w:sz w:val="24"/>
          <w:u w:val="single"/>
        </w:rPr>
        <w:t>大写）</w:t>
      </w:r>
      <w:r>
        <w:rPr>
          <w:rFonts w:hint="eastAsia" w:ascii="宋体" w:hAnsi="宋体" w:eastAsia="宋体" w:cs="宋体"/>
          <w:bCs/>
          <w:sz w:val="24"/>
          <w:u w:val="single"/>
        </w:rPr>
        <w:t>。</w:t>
      </w:r>
    </w:p>
    <w:p>
      <w:pPr>
        <w:spacing w:line="360" w:lineRule="auto"/>
        <w:outlineLvl w:val="1"/>
        <w:rPr>
          <w:rFonts w:hint="eastAsia" w:ascii="宋体" w:hAnsi="宋体" w:eastAsia="宋体" w:cs="宋体"/>
          <w:bCs/>
          <w:sz w:val="24"/>
        </w:rPr>
      </w:pPr>
      <w:r>
        <w:rPr>
          <w:rFonts w:hint="eastAsia" w:ascii="宋体" w:hAnsi="宋体" w:eastAsia="宋体" w:cs="宋体"/>
          <w:bCs/>
          <w:sz w:val="24"/>
        </w:rPr>
        <w:t>2.3 本合同约定价格为含税价，增值税率为13%专票。</w:t>
      </w:r>
    </w:p>
    <w:p>
      <w:pPr>
        <w:spacing w:line="360" w:lineRule="auto"/>
        <w:outlineLvl w:val="1"/>
        <w:rPr>
          <w:rFonts w:hint="eastAsia" w:ascii="宋体" w:hAnsi="宋体" w:eastAsia="宋体" w:cs="宋体"/>
          <w:bCs/>
          <w:sz w:val="24"/>
        </w:rPr>
      </w:pPr>
      <w:r>
        <w:rPr>
          <w:rFonts w:hint="eastAsia" w:ascii="宋体" w:hAnsi="宋体" w:eastAsia="宋体" w:cs="宋体"/>
          <w:bCs/>
          <w:sz w:val="24"/>
        </w:rPr>
        <w:t>2.4 本合同约定的价款，除非另有特别说明，已经包含履行合同目的所需全部费用，包括但不限于下列项目费用：</w:t>
      </w:r>
    </w:p>
    <w:p>
      <w:pPr>
        <w:spacing w:line="360" w:lineRule="auto"/>
        <w:ind w:firstLine="240" w:firstLineChars="100"/>
        <w:outlineLvl w:val="1"/>
        <w:rPr>
          <w:rFonts w:hint="eastAsia" w:ascii="宋体" w:hAnsi="宋体" w:eastAsia="宋体" w:cs="宋体"/>
          <w:bCs/>
          <w:sz w:val="24"/>
        </w:rPr>
      </w:pPr>
      <w:r>
        <w:rPr>
          <w:rFonts w:hint="eastAsia" w:ascii="宋体" w:hAnsi="宋体" w:eastAsia="宋体" w:cs="宋体"/>
          <w:bCs/>
          <w:sz w:val="24"/>
        </w:rPr>
        <w:t>（1）设备主体和配件、备品备件、硬件软件、包装、专用工具等的费用；</w:t>
      </w:r>
    </w:p>
    <w:p>
      <w:pPr>
        <w:spacing w:line="360" w:lineRule="auto"/>
        <w:ind w:firstLine="240" w:firstLineChars="100"/>
        <w:outlineLvl w:val="1"/>
        <w:rPr>
          <w:rFonts w:hint="eastAsia" w:ascii="宋体" w:hAnsi="宋体" w:eastAsia="宋体" w:cs="宋体"/>
          <w:bCs/>
          <w:sz w:val="24"/>
        </w:rPr>
      </w:pPr>
      <w:r>
        <w:rPr>
          <w:rFonts w:hint="eastAsia" w:ascii="宋体" w:hAnsi="宋体" w:eastAsia="宋体" w:cs="宋体"/>
          <w:bCs/>
          <w:sz w:val="24"/>
        </w:rPr>
        <w:t>（2）安装/调试/检验、培训、技术服务和其他相关服务费用；</w:t>
      </w:r>
    </w:p>
    <w:p>
      <w:pPr>
        <w:spacing w:line="360" w:lineRule="auto"/>
        <w:ind w:firstLine="240" w:firstLineChars="100"/>
        <w:outlineLvl w:val="1"/>
        <w:rPr>
          <w:rFonts w:hint="eastAsia" w:ascii="宋体" w:hAnsi="宋体" w:eastAsia="宋体" w:cs="宋体"/>
          <w:bCs/>
          <w:sz w:val="24"/>
        </w:rPr>
      </w:pPr>
      <w:r>
        <w:rPr>
          <w:rFonts w:hint="eastAsia" w:ascii="宋体" w:hAnsi="宋体" w:eastAsia="宋体" w:cs="宋体"/>
          <w:bCs/>
          <w:sz w:val="24"/>
        </w:rPr>
        <w:t>（3）进出口手续费用（如有）；</w:t>
      </w:r>
    </w:p>
    <w:p>
      <w:pPr>
        <w:spacing w:line="360" w:lineRule="auto"/>
        <w:ind w:firstLine="240" w:firstLineChars="100"/>
        <w:outlineLvl w:val="1"/>
        <w:rPr>
          <w:rFonts w:hint="eastAsia" w:ascii="宋体" w:hAnsi="宋体" w:eastAsia="宋体" w:cs="宋体"/>
          <w:bCs/>
          <w:sz w:val="24"/>
        </w:rPr>
      </w:pPr>
      <w:r>
        <w:rPr>
          <w:rFonts w:hint="eastAsia" w:ascii="宋体" w:hAnsi="宋体" w:eastAsia="宋体" w:cs="宋体"/>
          <w:bCs/>
          <w:sz w:val="24"/>
        </w:rPr>
        <w:t>（4）运输到指定交货地点的运费、保险费用等。</w:t>
      </w:r>
    </w:p>
    <w:p>
      <w:pPr>
        <w:keepNext w:val="0"/>
        <w:keepLines w:val="0"/>
        <w:pageBreakBefore w:val="0"/>
        <w:numPr>
          <w:ilvl w:val="0"/>
          <w:numId w:val="0"/>
        </w:numPr>
        <w:wordWrap/>
        <w:topLinePunct w:val="0"/>
        <w:bidi w:val="0"/>
        <w:snapToGrid/>
        <w:spacing w:line="360" w:lineRule="auto"/>
        <w:ind w:left="0" w:firstLine="0"/>
        <w:textAlignment w:val="auto"/>
        <w:outlineLvl w:val="1"/>
        <w:rPr>
          <w:rFonts w:hint="eastAsia" w:ascii="宋体" w:hAnsi="宋体" w:eastAsia="宋体" w:cs="宋体"/>
          <w:b w:val="0"/>
          <w:bCs/>
          <w:color w:val="000000"/>
          <w:sz w:val="24"/>
          <w:szCs w:val="24"/>
        </w:rPr>
      </w:pPr>
      <w:r>
        <w:rPr>
          <w:rFonts w:hint="eastAsia" w:ascii="宋体" w:hAnsi="宋体" w:eastAsia="宋体" w:cs="宋体"/>
          <w:bCs/>
          <w:color w:val="000000"/>
          <w:sz w:val="24"/>
        </w:rPr>
        <w:t>2.5 乙方负责自购安全防护用品和劳保用品(五点 式安全带、三防鞋、防护镜等) 。甲方提供安全帽、工作服，乙方需在工程结束后将安全帽、 工作服清洗干净后归还甲方，如有破损丢失，则乙方按价赔偿 （安全帽 30 元/个，安全背心30元/件，工作服 120元/ 套），另分包人的食、行均自理，工程项目上不得私自设立食堂。</w:t>
      </w:r>
    </w:p>
    <w:p>
      <w:pPr>
        <w:keepNext w:val="0"/>
        <w:keepLines w:val="0"/>
        <w:pageBreakBefore w:val="0"/>
        <w:numPr>
          <w:ilvl w:val="0"/>
          <w:numId w:val="0"/>
        </w:numPr>
        <w:wordWrap/>
        <w:topLinePunct w:val="0"/>
        <w:bidi w:val="0"/>
        <w:snapToGrid/>
        <w:spacing w:line="360" w:lineRule="auto"/>
        <w:ind w:left="0" w:firstLine="0"/>
        <w:textAlignment w:val="auto"/>
        <w:outlineLvl w:val="1"/>
        <w:rPr>
          <w:rFonts w:hint="eastAsia" w:ascii="宋体" w:hAnsi="宋体" w:eastAsia="宋体" w:cs="宋体"/>
          <w:bCs/>
          <w:sz w:val="24"/>
        </w:rPr>
      </w:pPr>
      <w:r>
        <w:rPr>
          <w:rFonts w:hint="eastAsia" w:ascii="宋体" w:hAnsi="宋体" w:eastAsia="宋体" w:cs="宋体"/>
          <w:b w:val="0"/>
          <w:bCs/>
          <w:sz w:val="24"/>
          <w:szCs w:val="24"/>
          <w:lang w:val="en-US" w:eastAsia="zh-CN"/>
        </w:rPr>
        <w:t xml:space="preserve">2.6 </w:t>
      </w:r>
      <w:r>
        <w:rPr>
          <w:rFonts w:hint="eastAsia" w:ascii="宋体" w:hAnsi="宋体" w:eastAsia="宋体" w:cs="宋体"/>
          <w:b w:val="0"/>
          <w:bCs/>
          <w:sz w:val="24"/>
          <w:szCs w:val="24"/>
        </w:rPr>
        <w:t>除非另有明确约定，甲方无需就本次</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rPr>
        <w:t>向乙方支付其他费用。</w:t>
      </w:r>
    </w:p>
    <w:p>
      <w:pPr>
        <w:spacing w:line="360" w:lineRule="auto"/>
        <w:outlineLvl w:val="1"/>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7</w:t>
      </w:r>
      <w:r>
        <w:rPr>
          <w:rFonts w:hint="eastAsia" w:ascii="宋体" w:hAnsi="宋体" w:eastAsia="宋体" w:cs="宋体"/>
          <w:bCs/>
          <w:sz w:val="24"/>
        </w:rPr>
        <w:t xml:space="preserve"> 双方确认：合同约定价款不因劳务、市场设备价格、政策变化而调整。</w:t>
      </w:r>
    </w:p>
    <w:p>
      <w:pPr>
        <w:spacing w:line="360" w:lineRule="auto"/>
        <w:outlineLvl w:val="1"/>
        <w:rPr>
          <w:rFonts w:hint="eastAsia" w:ascii="宋体" w:hAnsi="宋体" w:eastAsia="宋体" w:cs="宋体"/>
          <w:bCs/>
          <w:sz w:val="24"/>
        </w:rPr>
      </w:pPr>
      <w:r>
        <w:rPr>
          <w:rFonts w:hint="eastAsia" w:ascii="宋体" w:hAnsi="宋体" w:eastAsia="宋体" w:cs="宋体"/>
          <w:bCs/>
          <w:sz w:val="24"/>
        </w:rPr>
        <w:t>3.付款时间以及方式</w:t>
      </w:r>
    </w:p>
    <w:p>
      <w:pPr>
        <w:spacing w:line="360" w:lineRule="auto"/>
        <w:outlineLvl w:val="1"/>
        <w:rPr>
          <w:rFonts w:hint="eastAsia" w:ascii="宋体" w:hAnsi="宋体" w:eastAsia="宋体" w:cs="宋体"/>
          <w:bCs/>
          <w:sz w:val="24"/>
        </w:rPr>
      </w:pPr>
      <w:r>
        <w:rPr>
          <w:rFonts w:hint="eastAsia" w:ascii="宋体" w:hAnsi="宋体" w:eastAsia="宋体" w:cs="宋体"/>
          <w:bCs/>
          <w:sz w:val="24"/>
        </w:rPr>
        <w:t>3.1 首笔款（</w:t>
      </w:r>
      <w:r>
        <w:rPr>
          <w:rFonts w:hint="eastAsia" w:ascii="宋体" w:hAnsi="宋体" w:eastAsia="宋体" w:cs="宋体"/>
          <w:bCs/>
          <w:sz w:val="24"/>
          <w:lang w:eastAsia="zh-CN"/>
        </w:rPr>
        <w:t>预付款</w:t>
      </w:r>
      <w:r>
        <w:rPr>
          <w:rFonts w:hint="eastAsia" w:ascii="宋体" w:hAnsi="宋体" w:eastAsia="宋体" w:cs="宋体"/>
          <w:bCs/>
          <w:sz w:val="24"/>
        </w:rPr>
        <w:t>）：双方合同签订后，甲方支付合同总价款的</w:t>
      </w:r>
      <w:r>
        <w:rPr>
          <w:rFonts w:hint="eastAsia" w:ascii="宋体" w:hAnsi="宋体" w:eastAsia="宋体" w:cs="宋体"/>
          <w:bCs/>
          <w:sz w:val="24"/>
          <w:lang w:val="en-US" w:eastAsia="zh-CN"/>
        </w:rPr>
        <w:t>15</w:t>
      </w:r>
      <w:r>
        <w:rPr>
          <w:rFonts w:hint="eastAsia" w:ascii="宋体" w:hAnsi="宋体" w:eastAsia="宋体" w:cs="宋体"/>
          <w:bCs/>
          <w:sz w:val="24"/>
        </w:rPr>
        <w:t>%，共计人民币（大写）</w:t>
      </w:r>
      <w:r>
        <w:rPr>
          <w:rFonts w:hint="eastAsia" w:ascii="宋体" w:hAnsi="宋体" w:eastAsia="宋体" w:cs="宋体"/>
          <w:bCs/>
          <w:sz w:val="24"/>
          <w:lang w:val="en-US" w:eastAsia="zh-CN"/>
        </w:rPr>
        <w:t xml:space="preserve">      </w:t>
      </w:r>
      <w:r>
        <w:rPr>
          <w:rFonts w:hint="eastAsia" w:ascii="宋体" w:hAnsi="宋体" w:eastAsia="宋体" w:cs="宋体"/>
          <w:bCs/>
          <w:sz w:val="24"/>
        </w:rPr>
        <w:t>，于本合同签订后</w:t>
      </w:r>
      <w:r>
        <w:rPr>
          <w:rFonts w:hint="eastAsia" w:ascii="宋体" w:hAnsi="宋体" w:eastAsia="宋体" w:cs="宋体"/>
          <w:bCs/>
          <w:sz w:val="24"/>
          <w:lang w:val="en-US" w:eastAsia="zh-CN"/>
        </w:rPr>
        <w:t>15</w:t>
      </w:r>
      <w:r>
        <w:rPr>
          <w:rFonts w:hint="eastAsia" w:ascii="宋体" w:hAnsi="宋体" w:eastAsia="宋体" w:cs="宋体"/>
          <w:bCs/>
          <w:sz w:val="24"/>
        </w:rPr>
        <w:t>个工作日内支付</w:t>
      </w:r>
      <w:r>
        <w:rPr>
          <w:rFonts w:hint="eastAsia" w:ascii="宋体" w:hAnsi="宋体" w:eastAsia="宋体" w:cs="宋体"/>
          <w:bCs/>
          <w:sz w:val="24"/>
          <w:lang w:eastAsia="zh-CN"/>
        </w:rPr>
        <w:t>，</w:t>
      </w:r>
      <w:r>
        <w:rPr>
          <w:rFonts w:hint="eastAsia" w:ascii="宋体" w:hAnsi="宋体" w:eastAsia="宋体" w:cs="宋体"/>
          <w:bCs/>
          <w:sz w:val="24"/>
        </w:rPr>
        <w:t>乙方收到甲方支付的定金须即刻安排本合同约定设备的生产。</w:t>
      </w:r>
    </w:p>
    <w:p>
      <w:pPr>
        <w:spacing w:line="360" w:lineRule="auto"/>
        <w:outlineLvl w:val="1"/>
        <w:rPr>
          <w:rFonts w:hint="eastAsia" w:ascii="宋体" w:hAnsi="宋体" w:eastAsia="宋体" w:cs="宋体"/>
          <w:bCs/>
          <w:sz w:val="24"/>
        </w:rPr>
      </w:pPr>
      <w:r>
        <w:rPr>
          <w:rFonts w:hint="eastAsia" w:ascii="宋体" w:hAnsi="宋体" w:eastAsia="宋体" w:cs="宋体"/>
          <w:bCs/>
          <w:sz w:val="24"/>
        </w:rPr>
        <w:t>3.2 第</w:t>
      </w:r>
      <w:r>
        <w:rPr>
          <w:rFonts w:hint="eastAsia" w:ascii="宋体" w:hAnsi="宋体" w:eastAsia="宋体" w:cs="宋体"/>
          <w:bCs/>
          <w:sz w:val="24"/>
          <w:lang w:val="en-US" w:eastAsia="zh-CN"/>
        </w:rPr>
        <w:t>二</w:t>
      </w:r>
      <w:r>
        <w:rPr>
          <w:rFonts w:hint="eastAsia" w:ascii="宋体" w:hAnsi="宋体" w:eastAsia="宋体" w:cs="宋体"/>
          <w:bCs/>
          <w:sz w:val="24"/>
        </w:rPr>
        <w:t>笔款</w:t>
      </w:r>
      <w:r>
        <w:rPr>
          <w:rFonts w:hint="eastAsia" w:ascii="宋体" w:hAnsi="宋体" w:eastAsia="宋体" w:cs="宋体"/>
          <w:bCs/>
          <w:sz w:val="24"/>
          <w:lang w:eastAsia="zh-CN"/>
        </w:rPr>
        <w:t>（</w:t>
      </w:r>
      <w:r>
        <w:rPr>
          <w:rFonts w:hint="eastAsia" w:ascii="宋体" w:hAnsi="宋体" w:eastAsia="宋体" w:cs="宋体"/>
          <w:bCs/>
          <w:sz w:val="24"/>
          <w:lang w:val="en-US" w:eastAsia="zh-CN"/>
        </w:rPr>
        <w:t>到货款</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val="en-US" w:eastAsia="zh-CN"/>
        </w:rPr>
        <w:t>乙方将合同约定的</w:t>
      </w:r>
      <w:r>
        <w:rPr>
          <w:rFonts w:hint="eastAsia" w:ascii="宋体" w:hAnsi="宋体" w:eastAsia="宋体" w:cs="宋体"/>
          <w:bCs/>
          <w:sz w:val="24"/>
        </w:rPr>
        <w:t>主要设备</w:t>
      </w:r>
      <w:r>
        <w:rPr>
          <w:rFonts w:hint="eastAsia" w:ascii="宋体" w:hAnsi="宋体" w:eastAsia="宋体" w:cs="宋体"/>
          <w:bCs/>
          <w:sz w:val="24"/>
          <w:lang w:val="en-US" w:eastAsia="zh-CN"/>
        </w:rPr>
        <w:t>及主材</w:t>
      </w:r>
      <w:r>
        <w:rPr>
          <w:rFonts w:hint="eastAsia" w:ascii="宋体" w:hAnsi="宋体" w:eastAsia="宋体" w:cs="宋体"/>
          <w:bCs/>
          <w:sz w:val="24"/>
        </w:rPr>
        <w:t>到场</w:t>
      </w:r>
      <w:r>
        <w:rPr>
          <w:rFonts w:hint="eastAsia" w:ascii="宋体" w:hAnsi="宋体" w:eastAsia="宋体" w:cs="宋体"/>
          <w:bCs/>
          <w:sz w:val="24"/>
          <w:lang w:val="en-US" w:eastAsia="zh-CN"/>
        </w:rPr>
        <w:t>送至甲方经营场地，且甲方已在开箱验收通过并出具书面验收文件，甲方支付合同总价款的25%。</w:t>
      </w:r>
      <w:r>
        <w:rPr>
          <w:rFonts w:hint="eastAsia" w:ascii="宋体" w:hAnsi="宋体" w:eastAsia="宋体" w:cs="宋体"/>
          <w:bCs/>
          <w:sz w:val="24"/>
        </w:rPr>
        <w:t>共计人民币（大写），于甲方开箱验收通过之日起</w:t>
      </w:r>
      <w:r>
        <w:rPr>
          <w:rFonts w:hint="eastAsia" w:ascii="宋体" w:hAnsi="宋体" w:eastAsia="宋体" w:cs="宋体"/>
          <w:bCs/>
          <w:sz w:val="24"/>
          <w:lang w:val="en-US" w:eastAsia="zh-CN"/>
        </w:rPr>
        <w:t>15</w:t>
      </w:r>
      <w:r>
        <w:rPr>
          <w:rFonts w:hint="eastAsia" w:ascii="宋体" w:hAnsi="宋体" w:eastAsia="宋体" w:cs="宋体"/>
          <w:bCs/>
          <w:sz w:val="24"/>
        </w:rPr>
        <w:t>个工作日内支付。</w:t>
      </w:r>
    </w:p>
    <w:p>
      <w:pPr>
        <w:spacing w:line="360" w:lineRule="auto"/>
        <w:outlineLvl w:val="1"/>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bCs/>
          <w:sz w:val="24"/>
          <w:lang w:val="en-US" w:eastAsia="zh-CN"/>
        </w:rPr>
        <w:t>3</w:t>
      </w:r>
      <w:r>
        <w:rPr>
          <w:rFonts w:hint="eastAsia" w:ascii="宋体" w:hAnsi="宋体" w:eastAsia="宋体" w:cs="宋体"/>
          <w:bCs/>
          <w:sz w:val="24"/>
        </w:rPr>
        <w:t xml:space="preserve"> 第</w:t>
      </w:r>
      <w:r>
        <w:rPr>
          <w:rFonts w:hint="eastAsia" w:ascii="宋体" w:hAnsi="宋体" w:eastAsia="宋体" w:cs="宋体"/>
          <w:bCs/>
          <w:sz w:val="24"/>
          <w:lang w:val="en-US" w:eastAsia="zh-CN"/>
        </w:rPr>
        <w:t>三</w:t>
      </w:r>
      <w:r>
        <w:rPr>
          <w:rFonts w:hint="eastAsia" w:ascii="宋体" w:hAnsi="宋体" w:eastAsia="宋体" w:cs="宋体"/>
          <w:bCs/>
          <w:sz w:val="24"/>
        </w:rPr>
        <w:t>笔款</w:t>
      </w:r>
      <w:r>
        <w:rPr>
          <w:rFonts w:hint="eastAsia" w:ascii="宋体" w:hAnsi="宋体" w:eastAsia="宋体" w:cs="宋体"/>
          <w:bCs/>
          <w:sz w:val="24"/>
          <w:lang w:eastAsia="zh-CN"/>
        </w:rPr>
        <w:t>（</w:t>
      </w:r>
      <w:r>
        <w:rPr>
          <w:rFonts w:hint="eastAsia" w:ascii="宋体" w:hAnsi="宋体" w:eastAsia="宋体" w:cs="宋体"/>
          <w:bCs/>
          <w:sz w:val="24"/>
          <w:lang w:val="en-US" w:eastAsia="zh-CN"/>
        </w:rPr>
        <w:t>完工款</w:t>
      </w:r>
      <w:r>
        <w:rPr>
          <w:rFonts w:hint="eastAsia" w:ascii="宋体" w:hAnsi="宋体" w:eastAsia="宋体" w:cs="宋体"/>
          <w:bCs/>
          <w:sz w:val="24"/>
          <w:lang w:eastAsia="zh-CN"/>
        </w:rPr>
        <w:t>）</w:t>
      </w:r>
      <w:r>
        <w:rPr>
          <w:rFonts w:hint="eastAsia" w:ascii="宋体" w:hAnsi="宋体" w:eastAsia="宋体" w:cs="宋体"/>
          <w:bCs/>
          <w:sz w:val="24"/>
        </w:rPr>
        <w:t>：乙方安装完毕通过验收并试运行合格后，</w:t>
      </w:r>
      <w:r>
        <w:rPr>
          <w:rFonts w:hint="eastAsia" w:ascii="宋体" w:hAnsi="宋体" w:eastAsia="宋体" w:cs="宋体"/>
          <w:bCs/>
          <w:color w:val="auto"/>
          <w:sz w:val="24"/>
        </w:rPr>
        <w:t>甲方支付合同总价款的</w:t>
      </w:r>
      <w:r>
        <w:rPr>
          <w:rFonts w:hint="eastAsia" w:ascii="宋体" w:hAnsi="宋体" w:eastAsia="宋体" w:cs="宋体"/>
          <w:bCs/>
          <w:color w:val="auto"/>
          <w:sz w:val="24"/>
          <w:lang w:val="en-US" w:eastAsia="zh-CN"/>
        </w:rPr>
        <w:t>25</w:t>
      </w:r>
      <w:r>
        <w:rPr>
          <w:rFonts w:hint="eastAsia" w:ascii="宋体" w:hAnsi="宋体" w:eastAsia="宋体" w:cs="宋体"/>
          <w:bCs/>
          <w:color w:val="auto"/>
          <w:sz w:val="24"/>
        </w:rPr>
        <w:t>%，</w:t>
      </w:r>
      <w:r>
        <w:rPr>
          <w:rFonts w:hint="eastAsia" w:ascii="宋体" w:hAnsi="宋体" w:eastAsia="宋体" w:cs="宋体"/>
          <w:bCs/>
          <w:sz w:val="24"/>
        </w:rPr>
        <w:t>共计人民币（大写），于甲方验收完毕之日起</w:t>
      </w:r>
      <w:r>
        <w:rPr>
          <w:rFonts w:hint="eastAsia" w:ascii="宋体" w:hAnsi="宋体" w:eastAsia="宋体" w:cs="宋体"/>
          <w:bCs/>
          <w:sz w:val="24"/>
          <w:lang w:val="en-US" w:eastAsia="zh-CN"/>
        </w:rPr>
        <w:t>15</w:t>
      </w:r>
      <w:r>
        <w:rPr>
          <w:rFonts w:hint="eastAsia" w:ascii="宋体" w:hAnsi="宋体" w:eastAsia="宋体" w:cs="宋体"/>
          <w:bCs/>
          <w:sz w:val="24"/>
        </w:rPr>
        <w:t>个工作日内支付。</w:t>
      </w:r>
    </w:p>
    <w:p>
      <w:pPr>
        <w:spacing w:line="360" w:lineRule="auto"/>
        <w:outlineLvl w:val="1"/>
        <w:rPr>
          <w:rFonts w:hint="eastAsia" w:ascii="宋体" w:hAnsi="宋体" w:eastAsia="宋体" w:cs="宋体"/>
          <w:bCs/>
          <w:sz w:val="24"/>
          <w:lang w:val="en-US" w:eastAsia="zh-CN"/>
        </w:rPr>
      </w:pPr>
      <w:r>
        <w:rPr>
          <w:rFonts w:hint="eastAsia" w:ascii="宋体" w:hAnsi="宋体" w:eastAsia="宋体" w:cs="宋体"/>
          <w:bCs/>
          <w:sz w:val="24"/>
          <w:lang w:val="en-US" w:eastAsia="zh-CN"/>
        </w:rPr>
        <w:t>3.4 第四笔款：整体项目通过业主及政府相关部门竣工验收合格且通过审计并取得审计报告后90天内，甲方支付合同总价款的30%。</w:t>
      </w:r>
    </w:p>
    <w:p>
      <w:pPr>
        <w:spacing w:line="360" w:lineRule="auto"/>
        <w:outlineLvl w:val="1"/>
        <w:rPr>
          <w:rFonts w:hint="eastAsia" w:ascii="宋体" w:hAnsi="宋体" w:eastAsia="宋体" w:cs="宋体"/>
          <w:bCs/>
          <w:sz w:val="24"/>
        </w:rPr>
      </w:pPr>
      <w:r>
        <w:rPr>
          <w:rFonts w:hint="eastAsia" w:ascii="宋体" w:hAnsi="宋体" w:eastAsia="宋体" w:cs="宋体"/>
          <w:bCs/>
          <w:sz w:val="24"/>
        </w:rPr>
        <w:t>3.5 第五笔款（质保金）：合同总价款的</w:t>
      </w:r>
      <w:r>
        <w:rPr>
          <w:rFonts w:hint="eastAsia" w:ascii="宋体" w:hAnsi="宋体" w:eastAsia="宋体" w:cs="宋体"/>
          <w:bCs/>
          <w:sz w:val="24"/>
          <w:lang w:val="en-US" w:eastAsia="zh-CN"/>
        </w:rPr>
        <w:t>5</w:t>
      </w:r>
      <w:r>
        <w:rPr>
          <w:rFonts w:hint="eastAsia" w:ascii="宋体" w:hAnsi="宋体" w:eastAsia="宋体" w:cs="宋体"/>
          <w:bCs/>
          <w:sz w:val="24"/>
        </w:rPr>
        <w:t>%为本合同的质保金，共计人民币（大写），自最终验收合格后</w:t>
      </w:r>
      <w:r>
        <w:rPr>
          <w:rFonts w:hint="eastAsia" w:ascii="宋体" w:hAnsi="宋体" w:eastAsia="宋体" w:cs="宋体"/>
          <w:bCs/>
          <w:sz w:val="24"/>
          <w:lang w:val="en-US" w:eastAsia="zh-CN"/>
        </w:rPr>
        <w:t>二</w:t>
      </w:r>
      <w:r>
        <w:rPr>
          <w:rFonts w:hint="eastAsia" w:ascii="宋体" w:hAnsi="宋体" w:eastAsia="宋体" w:cs="宋体"/>
          <w:bCs/>
          <w:sz w:val="24"/>
        </w:rPr>
        <w:t>年内，且设备系统整体运行正常甲方无息付清。</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spacing w:val="26"/>
          <w:sz w:val="24"/>
          <w:szCs w:val="24"/>
          <w:highlight w:val="none"/>
          <w:lang w:val="en-US" w:eastAsia="zh-CN"/>
        </w:rPr>
      </w:pPr>
      <w:r>
        <w:rPr>
          <w:rFonts w:hint="eastAsia" w:ascii="宋体" w:hAnsi="宋体" w:eastAsia="宋体" w:cs="宋体"/>
          <w:bCs/>
          <w:sz w:val="24"/>
        </w:rPr>
        <w:t>3.6 上述款项支付前</w:t>
      </w:r>
      <w:r>
        <w:rPr>
          <w:rFonts w:hint="eastAsia" w:ascii="宋体" w:hAnsi="宋体" w:eastAsia="宋体" w:cs="宋体"/>
          <w:bCs/>
          <w:color w:val="auto"/>
          <w:sz w:val="24"/>
        </w:rPr>
        <w:t>除第一笔</w:t>
      </w:r>
      <w:r>
        <w:rPr>
          <w:rFonts w:hint="eastAsia" w:ascii="宋体" w:hAnsi="宋体" w:eastAsia="宋体" w:cs="宋体"/>
          <w:bCs/>
          <w:color w:val="auto"/>
          <w:sz w:val="24"/>
          <w:lang w:val="en-US" w:eastAsia="zh-CN"/>
        </w:rPr>
        <w:t>15</w:t>
      </w:r>
      <w:r>
        <w:rPr>
          <w:rFonts w:hint="eastAsia" w:ascii="宋体" w:hAnsi="宋体" w:eastAsia="宋体" w:cs="宋体"/>
          <w:bCs/>
          <w:color w:val="auto"/>
          <w:sz w:val="24"/>
        </w:rPr>
        <w:t>%</w:t>
      </w:r>
      <w:r>
        <w:rPr>
          <w:rFonts w:hint="eastAsia" w:ascii="宋体" w:hAnsi="宋体" w:eastAsia="宋体" w:cs="宋体"/>
          <w:bCs/>
          <w:color w:val="auto"/>
          <w:sz w:val="24"/>
          <w:lang w:eastAsia="zh-CN"/>
        </w:rPr>
        <w:t>预付</w:t>
      </w:r>
      <w:r>
        <w:rPr>
          <w:rFonts w:hint="eastAsia" w:ascii="宋体" w:hAnsi="宋体" w:eastAsia="宋体" w:cs="宋体"/>
          <w:bCs/>
          <w:color w:val="auto"/>
          <w:sz w:val="24"/>
          <w:lang w:val="en-US" w:eastAsia="zh-CN"/>
        </w:rPr>
        <w:t>款，</w:t>
      </w:r>
      <w:r>
        <w:rPr>
          <w:rFonts w:hint="eastAsia" w:ascii="宋体" w:hAnsi="宋体" w:eastAsia="宋体" w:cs="宋体"/>
          <w:bCs/>
          <w:sz w:val="24"/>
        </w:rPr>
        <w:t>乙方应提前向甲方开具相应金额的发票作为甲方的付款前提</w:t>
      </w:r>
      <w:r>
        <w:rPr>
          <w:rFonts w:hint="eastAsia" w:ascii="宋体" w:hAnsi="宋体" w:eastAsia="宋体" w:cs="宋体"/>
          <w:bCs/>
          <w:color w:val="auto"/>
          <w:sz w:val="24"/>
        </w:rPr>
        <w:t>。</w:t>
      </w:r>
    </w:p>
    <w:p>
      <w:pPr>
        <w:spacing w:line="360" w:lineRule="auto"/>
        <w:rPr>
          <w:rFonts w:hint="eastAsia" w:ascii="宋体" w:hAnsi="宋体" w:eastAsia="宋体" w:cs="宋体"/>
          <w:sz w:val="24"/>
        </w:rPr>
      </w:pPr>
      <w:r>
        <w:rPr>
          <w:rFonts w:hint="eastAsia" w:ascii="宋体" w:hAnsi="宋体" w:eastAsia="宋体" w:cs="宋体"/>
          <w:sz w:val="24"/>
        </w:rPr>
        <w:t>3.7 本合同甲方对乙方的支付以电汇方式通过甲乙双方银行账户进行。</w:t>
      </w:r>
    </w:p>
    <w:p>
      <w:pPr>
        <w:spacing w:line="360" w:lineRule="auto"/>
        <w:rPr>
          <w:rFonts w:hint="eastAsia" w:ascii="宋体" w:hAnsi="宋体" w:eastAsia="宋体" w:cs="宋体"/>
          <w:color w:val="FF0000"/>
          <w:sz w:val="24"/>
        </w:rPr>
      </w:pPr>
      <w:r>
        <w:rPr>
          <w:rFonts w:hint="eastAsia" w:ascii="宋体" w:hAnsi="宋体" w:eastAsia="宋体" w:cs="宋体"/>
          <w:sz w:val="24"/>
          <w:lang w:val="en-US" w:eastAsia="zh-CN"/>
        </w:rPr>
        <w:t>3.8</w:t>
      </w:r>
      <w:r>
        <w:rPr>
          <w:rFonts w:hint="eastAsia" w:ascii="宋体" w:hAnsi="宋体" w:eastAsia="宋体" w:cs="宋体"/>
          <w:sz w:val="24"/>
        </w:rPr>
        <w:t>甲方通过银行转账方式向乙方支付货款，乙方指定账号信息如下</w:t>
      </w:r>
      <w:r>
        <w:rPr>
          <w:rFonts w:hint="eastAsia" w:ascii="宋体" w:hAnsi="宋体" w:eastAsia="宋体" w:cs="宋体"/>
          <w:color w:val="auto"/>
          <w:sz w:val="24"/>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户名：</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pPr>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地址: </w:t>
      </w:r>
    </w:p>
    <w:p>
      <w:pPr>
        <w:spacing w:line="360" w:lineRule="auto"/>
        <w:outlineLvl w:val="1"/>
        <w:rPr>
          <w:rFonts w:hint="eastAsia" w:ascii="宋体" w:hAnsi="宋体" w:eastAsia="宋体" w:cs="宋体"/>
          <w:b/>
          <w:sz w:val="24"/>
        </w:rPr>
      </w:pPr>
      <w:r>
        <w:rPr>
          <w:rFonts w:hint="eastAsia" w:ascii="宋体" w:hAnsi="宋体" w:eastAsia="宋体" w:cs="宋体"/>
          <w:b/>
          <w:sz w:val="24"/>
        </w:rPr>
        <w:t>4.设备交付、安装调试、培训的地点、时间、期限</w:t>
      </w:r>
    </w:p>
    <w:p>
      <w:pPr>
        <w:spacing w:line="360" w:lineRule="auto"/>
        <w:rPr>
          <w:rFonts w:hint="eastAsia" w:ascii="宋体" w:hAnsi="宋体" w:eastAsia="宋体" w:cs="宋体"/>
          <w:sz w:val="24"/>
        </w:rPr>
      </w:pPr>
      <w:r>
        <w:rPr>
          <w:rFonts w:hint="eastAsia" w:ascii="宋体" w:hAnsi="宋体" w:eastAsia="宋体" w:cs="宋体"/>
          <w:sz w:val="24"/>
        </w:rPr>
        <w:t>4.1.设备交付及安装地点：  </w:t>
      </w:r>
      <w:r>
        <w:rPr>
          <w:rFonts w:hint="eastAsia" w:ascii="宋体" w:hAnsi="宋体" w:eastAsia="宋体" w:cs="宋体"/>
          <w:sz w:val="24"/>
          <w:lang w:val="en-US" w:eastAsia="zh-CN"/>
        </w:rPr>
        <w:t xml:space="preserve"> </w:t>
      </w:r>
      <w:r>
        <w:rPr>
          <w:rFonts w:hint="eastAsia" w:ascii="宋体" w:hAnsi="宋体" w:eastAsia="宋体" w:cs="宋体"/>
          <w:sz w:val="24"/>
        </w:rPr>
        <w:t>甲方项目经营地址内，具体位置由甲方指定。</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4.2最终验收完成且交付的时间：</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生效</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即甲方电子邮件、传真、微信、QQ发送的中标告知，一经发出即被视为已送达；书信于邮寄之日起第三日即被视为已送达</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之日起</w:t>
      </w:r>
      <w:r>
        <w:rPr>
          <w:rFonts w:hint="eastAsia" w:ascii="宋体" w:hAnsi="宋体" w:eastAsia="宋体" w:cs="宋体"/>
          <w:color w:val="000000"/>
          <w:sz w:val="24"/>
        </w:rPr>
        <w:t>30天内完成供货、安装及调试。</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en-US" w:eastAsia="zh-CN"/>
        </w:rPr>
        <w:t>3</w:t>
      </w:r>
      <w:r>
        <w:rPr>
          <w:rFonts w:hint="eastAsia" w:ascii="宋体" w:hAnsi="宋体" w:eastAsia="宋体" w:cs="宋体"/>
          <w:color w:val="000000"/>
          <w:sz w:val="24"/>
        </w:rPr>
        <w:t xml:space="preserve"> 乙方对甲方工作人员的培训时间：</w:t>
      </w:r>
      <w:r>
        <w:rPr>
          <w:rFonts w:hint="eastAsia" w:ascii="宋体" w:hAnsi="宋体" w:eastAsia="宋体" w:cs="宋体"/>
          <w:color w:val="000000"/>
          <w:sz w:val="24"/>
          <w:lang w:val="en-US" w:eastAsia="zh-CN"/>
        </w:rPr>
        <w:t>5</w:t>
      </w:r>
      <w:r>
        <w:rPr>
          <w:rFonts w:hint="eastAsia" w:ascii="宋体" w:hAnsi="宋体" w:eastAsia="宋体" w:cs="宋体"/>
          <w:color w:val="000000"/>
          <w:sz w:val="24"/>
        </w:rPr>
        <w:t>天或以甲方工作人员熟练使用和日常维护本设备为最低限度。</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交付、安装调试、培训地点：</w:t>
      </w:r>
      <w:r>
        <w:rPr>
          <w:rFonts w:hint="eastAsia" w:ascii="宋体" w:hAnsi="宋体" w:eastAsia="宋体" w:cs="宋体"/>
          <w:color w:val="000000"/>
          <w:sz w:val="24"/>
          <w:u w:val="single"/>
          <w:lang w:val="en-US" w:eastAsia="zh-CN"/>
        </w:rPr>
        <w:t>项目</w:t>
      </w:r>
      <w:r>
        <w:rPr>
          <w:rFonts w:hint="eastAsia" w:ascii="宋体" w:hAnsi="宋体" w:eastAsia="宋体" w:cs="宋体"/>
          <w:color w:val="000000"/>
          <w:sz w:val="24"/>
          <w:u w:val="single"/>
        </w:rPr>
        <w:t>所在地</w:t>
      </w:r>
      <w:r>
        <w:rPr>
          <w:rFonts w:hint="eastAsia" w:ascii="宋体" w:hAnsi="宋体" w:eastAsia="宋体" w:cs="宋体"/>
          <w:color w:val="000000"/>
          <w:sz w:val="24"/>
        </w:rPr>
        <w:t xml:space="preserve">。 </w:t>
      </w:r>
    </w:p>
    <w:p>
      <w:pPr>
        <w:spacing w:line="360" w:lineRule="auto"/>
        <w:rPr>
          <w:rFonts w:hint="eastAsia" w:ascii="宋体" w:hAnsi="宋体" w:eastAsia="宋体" w:cs="宋体"/>
          <w:b/>
          <w:color w:val="000000"/>
          <w:sz w:val="24"/>
          <w:lang w:val="en-US" w:eastAsia="zh-CN"/>
        </w:rPr>
      </w:pPr>
      <w:r>
        <w:rPr>
          <w:rFonts w:hint="eastAsia" w:ascii="宋体" w:hAnsi="宋体" w:eastAsia="宋体" w:cs="宋体"/>
          <w:b w:val="0"/>
          <w:bCs/>
          <w:color w:val="000000"/>
          <w:sz w:val="24"/>
          <w:szCs w:val="24"/>
          <w:lang w:val="en-US" w:eastAsia="zh-CN"/>
        </w:rPr>
        <w:t>4.5</w:t>
      </w:r>
      <w:r>
        <w:rPr>
          <w:rFonts w:hint="eastAsia" w:ascii="宋体" w:hAnsi="宋体" w:eastAsia="宋体" w:cs="宋体"/>
          <w:b w:val="0"/>
          <w:bCs/>
          <w:color w:val="000000"/>
          <w:sz w:val="24"/>
          <w:szCs w:val="24"/>
        </w:rPr>
        <w:t>甲方应确保现场条件满足合同设备</w:t>
      </w:r>
      <w:r>
        <w:rPr>
          <w:rFonts w:hint="eastAsia" w:ascii="宋体" w:hAnsi="宋体" w:eastAsia="宋体" w:cs="宋体"/>
          <w:b w:val="0"/>
          <w:bCs/>
          <w:color w:val="000000"/>
          <w:sz w:val="24"/>
          <w:szCs w:val="24"/>
          <w:lang w:val="en-US" w:eastAsia="zh-CN"/>
        </w:rPr>
        <w:t>安装和</w:t>
      </w:r>
      <w:r>
        <w:rPr>
          <w:rFonts w:hint="eastAsia" w:ascii="宋体" w:hAnsi="宋体" w:eastAsia="宋体" w:cs="宋体"/>
          <w:b w:val="0"/>
          <w:bCs/>
          <w:color w:val="000000"/>
          <w:sz w:val="24"/>
          <w:szCs w:val="24"/>
        </w:rPr>
        <w:t>调试的要求，在</w:t>
      </w:r>
      <w:r>
        <w:rPr>
          <w:rFonts w:hint="eastAsia" w:ascii="宋体" w:hAnsi="宋体" w:eastAsia="宋体" w:cs="宋体"/>
          <w:b w:val="0"/>
          <w:bCs/>
          <w:color w:val="000000"/>
          <w:sz w:val="24"/>
          <w:szCs w:val="24"/>
          <w:lang w:val="en-US" w:eastAsia="zh-CN"/>
        </w:rPr>
        <w:t>安装</w:t>
      </w:r>
      <w:r>
        <w:rPr>
          <w:rFonts w:hint="eastAsia" w:ascii="宋体" w:hAnsi="宋体" w:eastAsia="宋体" w:cs="宋体"/>
          <w:b w:val="0"/>
          <w:bCs/>
          <w:color w:val="000000"/>
          <w:sz w:val="24"/>
          <w:szCs w:val="24"/>
        </w:rPr>
        <w:t>时，提供必要工作条件</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电、气、水部分。</w:t>
      </w:r>
    </w:p>
    <w:p>
      <w:pPr>
        <w:rPr>
          <w:rFonts w:hint="eastAsia" w:ascii="宋体" w:hAnsi="宋体" w:eastAsia="宋体" w:cs="宋体"/>
          <w:b w:val="0"/>
          <w:bCs/>
          <w:color w:val="C00000"/>
          <w:szCs w:val="24"/>
          <w:lang w:val="en-US" w:eastAsia="zh-CN"/>
        </w:rPr>
      </w:pPr>
    </w:p>
    <w:p>
      <w:pPr>
        <w:spacing w:line="360" w:lineRule="auto"/>
        <w:rPr>
          <w:rFonts w:hint="eastAsia" w:ascii="宋体" w:hAnsi="宋体" w:eastAsia="宋体" w:cs="宋体"/>
          <w:b/>
          <w:sz w:val="24"/>
        </w:rPr>
      </w:pPr>
      <w:r>
        <w:rPr>
          <w:rFonts w:hint="eastAsia" w:ascii="宋体" w:hAnsi="宋体" w:eastAsia="宋体" w:cs="宋体"/>
          <w:b/>
          <w:sz w:val="24"/>
        </w:rPr>
        <w:t>5.交货</w:t>
      </w:r>
    </w:p>
    <w:p>
      <w:pPr>
        <w:spacing w:line="360" w:lineRule="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1</w:t>
      </w:r>
      <w:r>
        <w:rPr>
          <w:rFonts w:hint="eastAsia" w:ascii="宋体" w:hAnsi="宋体" w:eastAsia="宋体" w:cs="宋体"/>
          <w:sz w:val="24"/>
        </w:rPr>
        <w:t xml:space="preserve"> 本合同设备运输方式、交货、卸货均由乙方负责，且由乙方负责卸货、二次搬运。</w:t>
      </w:r>
    </w:p>
    <w:p>
      <w:pPr>
        <w:spacing w:line="360" w:lineRule="auto"/>
        <w:rPr>
          <w:rFonts w:hint="eastAsia" w:ascii="宋体" w:hAnsi="宋体" w:eastAsia="宋体" w:cs="宋体"/>
          <w:color w:val="FF0000"/>
          <w:sz w:val="24"/>
        </w:rPr>
      </w:pPr>
      <w:r>
        <w:rPr>
          <w:rFonts w:hint="eastAsia" w:ascii="宋体" w:hAnsi="宋体" w:eastAsia="宋体" w:cs="宋体"/>
          <w:color w:val="FF0000"/>
          <w:sz w:val="24"/>
        </w:rPr>
        <w:t>甲方指定的收货人：</w:t>
      </w:r>
      <w:r>
        <w:rPr>
          <w:rFonts w:hint="eastAsia" w:ascii="宋体" w:hAnsi="宋体" w:eastAsia="宋体" w:cs="宋体"/>
          <w:color w:val="FF0000"/>
          <w:sz w:val="24"/>
          <w:u w:val="single"/>
        </w:rPr>
        <w:t xml:space="preserve">     </w:t>
      </w:r>
      <w:r>
        <w:rPr>
          <w:rFonts w:hint="eastAsia" w:ascii="宋体" w:hAnsi="宋体" w:eastAsia="宋体" w:cs="宋体"/>
          <w:sz w:val="24"/>
          <w:lang w:val="en-US" w:eastAsia="zh-CN"/>
        </w:rPr>
        <w:t>。</w:t>
      </w:r>
    </w:p>
    <w:p>
      <w:pPr>
        <w:spacing w:line="360" w:lineRule="auto"/>
        <w:jc w:val="left"/>
        <w:outlineLvl w:val="1"/>
        <w:rPr>
          <w:rFonts w:hint="eastAsia" w:ascii="宋体" w:hAnsi="宋体" w:eastAsia="宋体" w:cs="宋体"/>
          <w:b/>
          <w:sz w:val="24"/>
        </w:rPr>
      </w:pPr>
      <w:r>
        <w:rPr>
          <w:rFonts w:hint="eastAsia" w:ascii="宋体" w:hAnsi="宋体" w:eastAsia="宋体" w:cs="宋体"/>
          <w:b/>
          <w:sz w:val="24"/>
        </w:rPr>
        <w:t>6.验收</w:t>
      </w:r>
    </w:p>
    <w:p>
      <w:pPr>
        <w:spacing w:line="360" w:lineRule="auto"/>
        <w:jc w:val="left"/>
        <w:rPr>
          <w:rFonts w:hint="eastAsia" w:ascii="宋体" w:hAnsi="宋体" w:eastAsia="宋体" w:cs="宋体"/>
          <w:sz w:val="24"/>
        </w:rPr>
      </w:pPr>
      <w:r>
        <w:rPr>
          <w:rFonts w:hint="eastAsia" w:ascii="宋体" w:hAnsi="宋体" w:eastAsia="宋体" w:cs="宋体"/>
          <w:sz w:val="24"/>
        </w:rPr>
        <w:t>6.1 货物到达目的地后，甲方应与乙方一起根据货单对货物的包装、外观及件数进行清点检验，如发现有任何不符之处经双方代表确认，如属于乙方责任，由乙方负责处理解决。</w:t>
      </w:r>
    </w:p>
    <w:p>
      <w:pPr>
        <w:spacing w:line="360" w:lineRule="auto"/>
        <w:jc w:val="left"/>
        <w:rPr>
          <w:rFonts w:hint="eastAsia" w:ascii="宋体" w:hAnsi="宋体" w:eastAsia="宋体" w:cs="宋体"/>
          <w:sz w:val="24"/>
        </w:rPr>
      </w:pPr>
      <w:r>
        <w:rPr>
          <w:rFonts w:hint="eastAsia" w:ascii="宋体" w:hAnsi="宋体" w:eastAsia="宋体" w:cs="宋体"/>
          <w:sz w:val="24"/>
        </w:rPr>
        <w:t>6.2 当货物抵达甲方指定工地现场后，甲方应尽快开箱检验，检验货物的数量、规格和质量。甲方派遣员工参加现场验收工作时，乙方应为甲方验收人员提供工作方便。如验收时，乙方人员未按时赴现场，甲方有权自行开箱检验，检验结果和记录对双方同样有效，并作为甲方向乙方提出索赔的有效证据。</w:t>
      </w:r>
    </w:p>
    <w:p>
      <w:pPr>
        <w:spacing w:line="360" w:lineRule="auto"/>
        <w:jc w:val="left"/>
        <w:rPr>
          <w:rFonts w:hint="eastAsia" w:ascii="宋体" w:hAnsi="宋体" w:eastAsia="宋体" w:cs="宋体"/>
          <w:b/>
          <w:bCs/>
          <w:sz w:val="24"/>
        </w:rPr>
      </w:pPr>
      <w:r>
        <w:rPr>
          <w:rFonts w:hint="eastAsia" w:ascii="宋体" w:hAnsi="宋体" w:eastAsia="宋体" w:cs="宋体"/>
          <w:b/>
          <w:bCs/>
          <w:sz w:val="24"/>
        </w:rPr>
        <w:t>7.质量保证</w:t>
      </w:r>
    </w:p>
    <w:p>
      <w:pPr>
        <w:spacing w:line="360" w:lineRule="auto"/>
        <w:jc w:val="left"/>
        <w:rPr>
          <w:rFonts w:hint="eastAsia" w:ascii="宋体" w:hAnsi="宋体" w:eastAsia="宋体" w:cs="宋体"/>
          <w:b/>
          <w:color w:val="FF0000"/>
          <w:sz w:val="24"/>
        </w:rPr>
      </w:pPr>
      <w:r>
        <w:rPr>
          <w:rFonts w:hint="eastAsia" w:ascii="宋体" w:hAnsi="宋体" w:eastAsia="宋体" w:cs="宋体"/>
          <w:b/>
          <w:sz w:val="24"/>
        </w:rPr>
        <w:t xml:space="preserve">7.1 </w:t>
      </w:r>
      <w:r>
        <w:rPr>
          <w:rFonts w:hint="eastAsia" w:ascii="宋体" w:hAnsi="宋体" w:eastAsia="宋体" w:cs="宋体"/>
          <w:b/>
          <w:color w:val="auto"/>
          <w:sz w:val="24"/>
        </w:rPr>
        <w:t>质量保证期：</w:t>
      </w:r>
      <w:r>
        <w:rPr>
          <w:rFonts w:hint="eastAsia" w:ascii="宋体" w:hAnsi="宋体" w:eastAsia="宋体" w:cs="宋体"/>
          <w:b/>
          <w:color w:val="auto"/>
          <w:sz w:val="24"/>
          <w:lang w:val="en-US" w:eastAsia="zh-CN"/>
        </w:rPr>
        <w:t>自整体项目通过业主及政府相关部门竣工验收合格后24个月，且设备系统整体运行正常。</w:t>
      </w:r>
    </w:p>
    <w:p>
      <w:pPr>
        <w:spacing w:line="360" w:lineRule="auto"/>
        <w:rPr>
          <w:rFonts w:hint="eastAsia" w:ascii="宋体" w:hAnsi="宋体" w:eastAsia="宋体" w:cs="宋体"/>
          <w:b/>
          <w:sz w:val="24"/>
        </w:rPr>
      </w:pPr>
      <w:r>
        <w:rPr>
          <w:rFonts w:hint="eastAsia" w:ascii="宋体" w:hAnsi="宋体" w:eastAsia="宋体" w:cs="宋体"/>
          <w:b/>
          <w:sz w:val="24"/>
        </w:rPr>
        <w:t>8.其他</w:t>
      </w:r>
    </w:p>
    <w:p>
      <w:pPr>
        <w:spacing w:line="360" w:lineRule="auto"/>
        <w:rPr>
          <w:rFonts w:hint="eastAsia" w:ascii="宋体" w:hAnsi="宋体" w:eastAsia="宋体" w:cs="宋体"/>
          <w:b/>
          <w:sz w:val="24"/>
        </w:rPr>
      </w:pPr>
      <w:r>
        <w:rPr>
          <w:rFonts w:hint="eastAsia" w:ascii="宋体" w:hAnsi="宋体" w:eastAsia="宋体" w:cs="宋体"/>
          <w:b/>
          <w:sz w:val="24"/>
        </w:rPr>
        <w:t>8.1合同附件：设备技术协议及图纸附件等</w:t>
      </w:r>
    </w:p>
    <w:p>
      <w:pPr>
        <w:spacing w:line="360" w:lineRule="auto"/>
        <w:rPr>
          <w:rFonts w:hint="eastAsia" w:ascii="宋体" w:hAnsi="宋体" w:eastAsia="宋体" w:cs="宋体"/>
          <w:b/>
          <w:sz w:val="24"/>
        </w:rPr>
      </w:pPr>
      <w:r>
        <w:rPr>
          <w:rFonts w:hint="eastAsia" w:ascii="宋体" w:hAnsi="宋体" w:eastAsia="宋体" w:cs="宋体"/>
          <w:b/>
          <w:sz w:val="24"/>
        </w:rPr>
        <w:t>8.2 甲方开票信息</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0" w:type="dxa"/>
            <w:gridSpan w:val="2"/>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需要提供的发票种类：增值税专用发票。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单位：                                                        </w:t>
            </w:r>
          </w:p>
        </w:tc>
        <w:tc>
          <w:tcPr>
            <w:tcW w:w="7513" w:type="dxa"/>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川楚联合国际工程有限公司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税号：</w:t>
            </w:r>
          </w:p>
        </w:tc>
        <w:tc>
          <w:tcPr>
            <w:tcW w:w="7513"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91510100MA6CAGWT89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地址：</w:t>
            </w:r>
          </w:p>
        </w:tc>
        <w:tc>
          <w:tcPr>
            <w:tcW w:w="7513" w:type="dxa"/>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中国（四川）自由贸易试验区成都高新区交子大道88号2栋6楼603号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电话：                                                         </w:t>
            </w:r>
          </w:p>
        </w:tc>
        <w:tc>
          <w:tcPr>
            <w:tcW w:w="7513"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color w:val="000000"/>
                <w:kern w:val="0"/>
                <w:sz w:val="24"/>
              </w:rPr>
              <w:t>028-83372859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开户行：                                                        </w:t>
            </w:r>
          </w:p>
        </w:tc>
        <w:tc>
          <w:tcPr>
            <w:tcW w:w="7513"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中国工商银行股份有限公司成都民丰大道支行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7"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帐号：                                                          </w:t>
            </w:r>
          </w:p>
        </w:tc>
        <w:tc>
          <w:tcPr>
            <w:tcW w:w="7513" w:type="dxa"/>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4402235309000040073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0" w:type="dxa"/>
            <w:gridSpan w:val="2"/>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发票邮寄地址和收件人：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0" w:type="dxa"/>
            <w:gridSpan w:val="2"/>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四川成都，武侯区，益交子大道88号，中航国际广场B座6楼603号。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0" w:type="dxa"/>
            <w:gridSpan w:val="2"/>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发票收件人：</w:t>
            </w:r>
            <w:r>
              <w:rPr>
                <w:rFonts w:hint="eastAsia" w:ascii="宋体" w:hAnsi="宋体" w:eastAsia="宋体" w:cs="宋体"/>
              </w:rPr>
              <w:t>蒋媛</w:t>
            </w:r>
            <w:r>
              <w:rPr>
                <w:rFonts w:hint="eastAsia" w:ascii="宋体" w:hAnsi="宋体" w:eastAsia="宋体" w:cs="宋体"/>
                <w:kern w:val="0"/>
                <w:sz w:val="24"/>
              </w:rPr>
              <w:t>/</w:t>
            </w:r>
            <w:r>
              <w:rPr>
                <w:rFonts w:hint="eastAsia" w:ascii="宋体" w:hAnsi="宋体" w:eastAsia="宋体" w:cs="宋体"/>
              </w:rPr>
              <w:t>15208495001</w:t>
            </w:r>
          </w:p>
        </w:tc>
      </w:tr>
    </w:tbl>
    <w:p>
      <w:pPr>
        <w:spacing w:line="360" w:lineRule="auto"/>
        <w:jc w:val="center"/>
        <w:rPr>
          <w:rFonts w:hint="eastAsia" w:ascii="宋体" w:hAnsi="宋体" w:eastAsia="宋体" w:cs="宋体"/>
          <w:b/>
          <w:sz w:val="24"/>
        </w:rPr>
      </w:pPr>
      <w:r>
        <w:rPr>
          <w:rFonts w:hint="eastAsia" w:ascii="宋体" w:hAnsi="宋体" w:eastAsia="宋体" w:cs="宋体"/>
          <w:b/>
          <w:sz w:val="24"/>
        </w:rPr>
        <w:t>（以下无正文）</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签订时间：        年        月         日</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lang w:val="en-US" w:eastAsia="zh-CN"/>
        </w:rPr>
      </w:pPr>
      <w:r>
        <w:rPr>
          <w:rFonts w:hint="eastAsia" w:ascii="宋体" w:hAnsi="宋体" w:eastAsia="宋体" w:cs="宋体"/>
          <w:sz w:val="24"/>
        </w:rPr>
        <w:t>甲方：</w:t>
      </w:r>
      <w:r>
        <w:rPr>
          <w:rFonts w:hint="eastAsia" w:ascii="宋体" w:hAnsi="宋体" w:eastAsia="宋体" w:cs="宋体"/>
          <w:b/>
          <w:sz w:val="24"/>
        </w:rPr>
        <w:t>川楚联合国际工程有限公司</w:t>
      </w:r>
      <w:r>
        <w:rPr>
          <w:rFonts w:hint="eastAsia" w:ascii="宋体" w:hAnsi="宋体" w:eastAsia="宋体" w:cs="宋体"/>
          <w:sz w:val="24"/>
        </w:rPr>
        <w:t xml:space="preserve">           乙方：</w:t>
      </w: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p>
    <w:p>
      <w:pPr>
        <w:spacing w:line="360" w:lineRule="auto"/>
        <w:rPr>
          <w:rFonts w:hint="eastAsia" w:ascii="宋体" w:hAnsi="宋体" w:eastAsia="宋体" w:cs="宋体"/>
          <w:sz w:val="24"/>
        </w:rPr>
      </w:pPr>
      <w:r>
        <w:rPr>
          <w:rFonts w:hint="eastAsia" w:ascii="宋体" w:hAnsi="宋体" w:eastAsia="宋体" w:cs="宋体"/>
          <w:sz w:val="24"/>
        </w:rPr>
        <w:t>甲方（盖章）：                           乙方（盖章）：</w:t>
      </w:r>
    </w:p>
    <w:p>
      <w:pPr>
        <w:spacing w:line="360" w:lineRule="auto"/>
        <w:rPr>
          <w:rFonts w:hint="eastAsia" w:ascii="宋体" w:hAnsi="宋体" w:eastAsia="宋体" w:cs="宋体"/>
          <w:sz w:val="24"/>
        </w:rPr>
      </w:pPr>
      <w:r>
        <w:rPr>
          <w:rFonts w:hint="eastAsia" w:ascii="宋体" w:hAnsi="宋体" w:eastAsia="宋体" w:cs="宋体"/>
          <w:sz w:val="24"/>
        </w:rPr>
        <w:t>甲方授权代表（签名）：                   乙方授权代表（签名）：</w:t>
      </w:r>
    </w:p>
    <w:p>
      <w:pPr>
        <w:pStyle w:val="17"/>
        <w:ind w:left="0" w:leftChars="0" w:firstLine="0" w:firstLineChars="0"/>
      </w:pPr>
    </w:p>
    <w:p>
      <w:pPr>
        <w:spacing w:before="114" w:line="360" w:lineRule="auto"/>
        <w:jc w:val="center"/>
        <w:outlineLvl w:val="0"/>
        <w:rPr>
          <w:rFonts w:ascii="宋体" w:hAnsi="宋体" w:eastAsia="宋体" w:cs="宋体"/>
          <w:spacing w:val="12"/>
          <w:sz w:val="35"/>
          <w:szCs w:val="35"/>
          <w14:textOutline w14:w="6537" w14:cap="sq" w14:cmpd="sng">
            <w14:solidFill>
              <w14:srgbClr w14:val="000000"/>
            </w14:solidFill>
            <w14:prstDash w14:val="solid"/>
            <w14:bevel/>
          </w14:textOutline>
        </w:rPr>
      </w:pPr>
      <w:bookmarkStart w:id="198" w:name="_Toc20341"/>
    </w:p>
    <w:p>
      <w:pPr>
        <w:spacing w:before="114" w:line="360" w:lineRule="auto"/>
        <w:jc w:val="center"/>
        <w:outlineLvl w:val="0"/>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12"/>
          <w:sz w:val="35"/>
          <w:szCs w:val="35"/>
          <w14:textOutline w14:w="6537" w14:cap="sq" w14:cmpd="sng">
            <w14:solidFill>
              <w14:srgbClr w14:val="000000"/>
            </w14:solidFill>
            <w14:prstDash w14:val="solid"/>
            <w14:bevel/>
          </w14:textOutline>
        </w:rPr>
      </w:pPr>
    </w:p>
    <w:p>
      <w:pPr>
        <w:pStyle w:val="2"/>
        <w:ind w:left="0" w:leftChars="0" w:firstLine="0" w:firstLineChars="0"/>
        <w:jc w:val="center"/>
        <w:outlineLvl w:val="0"/>
        <w:rPr>
          <w:rFonts w:hint="default" w:ascii="宋体" w:hAnsi="宋体" w:eastAsia="宋体" w:cs="宋体"/>
          <w:spacing w:val="12"/>
          <w:sz w:val="35"/>
          <w:szCs w:val="35"/>
          <w:lang w:val="en-US" w:eastAsia="zh-CN"/>
          <w14:textOutline w14:w="6537" w14:cap="sq" w14:cmpd="sng">
            <w14:solidFill>
              <w14:srgbClr w14:val="000000"/>
            </w14:solidFill>
            <w14:prstDash w14:val="solid"/>
            <w14:bevel/>
          </w14:textOutline>
        </w:rPr>
      </w:pPr>
      <w:bookmarkStart w:id="199" w:name="_Toc16015"/>
      <w:r>
        <w:rPr>
          <w:rFonts w:hint="eastAsia" w:ascii="宋体" w:hAnsi="宋体" w:eastAsia="宋体" w:cs="宋体"/>
          <w:spacing w:val="12"/>
          <w:sz w:val="35"/>
          <w:szCs w:val="35"/>
          <w:lang w:val="en-US" w:eastAsia="zh-CN"/>
          <w14:textOutline w14:w="6537" w14:cap="sq" w14:cmpd="sng">
            <w14:solidFill>
              <w14:srgbClr w14:val="000000"/>
            </w14:solidFill>
            <w14:prstDash w14:val="solid"/>
            <w14:bevel/>
          </w14:textOutline>
        </w:rPr>
        <w:t>第五章 技术协议</w:t>
      </w:r>
      <w:bookmarkEnd w:id="199"/>
    </w:p>
    <w:p>
      <w:pPr>
        <w:wordWrap w:val="0"/>
        <w:spacing w:line="360" w:lineRule="auto"/>
        <w:jc w:val="center"/>
        <w:outlineLvl w:val="0"/>
        <w:rPr>
          <w:rFonts w:hint="eastAsia" w:ascii="宋体" w:hAnsi="宋体"/>
          <w:b/>
          <w:szCs w:val="21"/>
        </w:rPr>
      </w:pPr>
      <w:r>
        <w:rPr>
          <w:rFonts w:hint="eastAsia" w:ascii="宋体" w:hAnsi="宋体"/>
          <w:b/>
          <w:szCs w:val="21"/>
        </w:rPr>
        <w:t xml:space="preserve">      </w:t>
      </w:r>
      <w:r>
        <w:rPr>
          <w:rFonts w:hint="eastAsia" w:ascii="宋体" w:hAnsi="宋体" w:eastAsia="宋体"/>
          <w:b/>
          <w:szCs w:val="21"/>
          <w:lang w:val="en-US" w:eastAsia="zh-CN"/>
        </w:rPr>
        <w:t xml:space="preserve">                       </w:t>
      </w:r>
      <w:r>
        <w:rPr>
          <w:rFonts w:hint="eastAsia" w:ascii="宋体" w:hAnsi="宋体"/>
          <w:b/>
          <w:szCs w:val="21"/>
        </w:rPr>
        <w:t xml:space="preserve">   </w:t>
      </w:r>
      <w:bookmarkStart w:id="200" w:name="_Toc8692"/>
    </w:p>
    <w:p>
      <w:pPr>
        <w:wordWrap w:val="0"/>
        <w:spacing w:line="360" w:lineRule="auto"/>
        <w:jc w:val="center"/>
        <w:outlineLvl w:val="0"/>
        <w:rPr>
          <w:rFonts w:ascii="宋体" w:hAnsi="宋体"/>
          <w:b/>
          <w:szCs w:val="21"/>
        </w:rPr>
      </w:pPr>
      <w:bookmarkStart w:id="201" w:name="_Toc10110"/>
      <w:r>
        <w:rPr>
          <w:rFonts w:hint="eastAsia" w:ascii="宋体" w:hAnsi="宋体"/>
          <w:b/>
          <w:szCs w:val="21"/>
        </w:rPr>
        <w:t>合同编号:</w:t>
      </w:r>
      <w:bookmarkEnd w:id="200"/>
      <w:bookmarkEnd w:id="201"/>
    </w:p>
    <w:p>
      <w:pPr>
        <w:spacing w:line="360" w:lineRule="auto"/>
        <w:ind w:left="-620" w:leftChars="-400" w:right="-319" w:rightChars="-152" w:hanging="220" w:hangingChars="50"/>
        <w:rPr>
          <w:rFonts w:hint="eastAsia" w:ascii="宋体" w:hAnsi="宋体"/>
          <w:b/>
          <w:sz w:val="44"/>
          <w:szCs w:val="44"/>
        </w:rPr>
      </w:pPr>
    </w:p>
    <w:p>
      <w:pPr>
        <w:pStyle w:val="6"/>
        <w:spacing w:line="360" w:lineRule="auto"/>
        <w:ind w:left="0" w:leftChars="0" w:firstLine="0" w:firstLineChars="0"/>
        <w:jc w:val="center"/>
        <w:rPr>
          <w:rFonts w:hint="eastAsia" w:hAnsi="宋体"/>
          <w:b/>
          <w:sz w:val="36"/>
          <w:szCs w:val="36"/>
          <w:lang w:eastAsia="zh-CN"/>
        </w:rPr>
      </w:pPr>
      <w:r>
        <w:rPr>
          <w:rFonts w:hint="eastAsia" w:hAnsi="宋体"/>
          <w:b/>
          <w:sz w:val="36"/>
          <w:szCs w:val="36"/>
          <w:lang w:eastAsia="zh-CN"/>
        </w:rPr>
        <w:t>清真牛羊肉精深加工与清真预制菜加工项目</w:t>
      </w:r>
    </w:p>
    <w:p>
      <w:pPr>
        <w:pStyle w:val="6"/>
        <w:spacing w:line="520" w:lineRule="exact"/>
        <w:ind w:left="0" w:leftChars="0" w:firstLine="0" w:firstLineChars="0"/>
        <w:jc w:val="both"/>
        <w:rPr>
          <w:rFonts w:hint="eastAsia" w:hAnsi="宋体"/>
          <w:b/>
          <w:sz w:val="40"/>
          <w:szCs w:val="40"/>
          <w:lang w:eastAsia="zh-CN"/>
        </w:rPr>
      </w:pPr>
    </w:p>
    <w:p>
      <w:pPr>
        <w:pStyle w:val="6"/>
        <w:spacing w:line="520" w:lineRule="exact"/>
        <w:ind w:left="0" w:leftChars="0" w:firstLine="0" w:firstLineChars="0"/>
        <w:jc w:val="center"/>
        <w:rPr>
          <w:rStyle w:val="30"/>
          <w:rFonts w:ascii="Arial" w:hAnsi="Arial" w:cs="Arial"/>
          <w:b/>
          <w:sz w:val="40"/>
          <w:szCs w:val="40"/>
        </w:rPr>
      </w:pPr>
      <w:r>
        <w:rPr>
          <w:rFonts w:hint="eastAsia" w:hAnsi="宋体"/>
          <w:b/>
          <w:sz w:val="40"/>
          <w:szCs w:val="40"/>
          <w:lang w:eastAsia="zh-CN"/>
        </w:rPr>
        <w:t>《</w:t>
      </w:r>
      <w:r>
        <w:rPr>
          <w:rFonts w:hint="eastAsia" w:hAnsi="宋体"/>
          <w:b/>
          <w:sz w:val="40"/>
          <w:szCs w:val="40"/>
          <w:lang w:val="en-US" w:eastAsia="zh-CN"/>
        </w:rPr>
        <w:t>污水处理成套设备采购合同</w:t>
      </w:r>
      <w:r>
        <w:rPr>
          <w:rFonts w:hint="eastAsia" w:hAnsi="宋体"/>
          <w:b/>
          <w:sz w:val="40"/>
          <w:szCs w:val="40"/>
          <w:lang w:eastAsia="zh-CN"/>
        </w:rPr>
        <w:t>》</w:t>
      </w:r>
    </w:p>
    <w:p>
      <w:pPr>
        <w:pStyle w:val="6"/>
        <w:spacing w:line="520" w:lineRule="exact"/>
        <w:ind w:firstLine="1044"/>
        <w:jc w:val="center"/>
        <w:rPr>
          <w:rStyle w:val="30"/>
          <w:rFonts w:ascii="Arial" w:hAnsi="Arial" w:cs="Arial"/>
          <w:b/>
          <w:sz w:val="52"/>
          <w:szCs w:val="44"/>
        </w:rPr>
      </w:pPr>
    </w:p>
    <w:p>
      <w:pPr>
        <w:pStyle w:val="6"/>
        <w:spacing w:line="520" w:lineRule="exact"/>
        <w:ind w:firstLine="1044"/>
        <w:jc w:val="center"/>
        <w:rPr>
          <w:rStyle w:val="30"/>
          <w:rFonts w:ascii="Arial" w:hAnsi="Arial" w:cs="Arial"/>
          <w:b/>
          <w:sz w:val="52"/>
          <w:szCs w:val="44"/>
        </w:rPr>
      </w:pPr>
    </w:p>
    <w:p>
      <w:pPr>
        <w:pStyle w:val="6"/>
        <w:spacing w:line="520" w:lineRule="exact"/>
        <w:ind w:firstLine="1044"/>
        <w:rPr>
          <w:rStyle w:val="30"/>
          <w:rFonts w:ascii="Arial" w:hAnsi="Arial" w:cs="Arial"/>
          <w:b/>
          <w:sz w:val="52"/>
          <w:szCs w:val="44"/>
        </w:rPr>
      </w:pPr>
    </w:p>
    <w:p>
      <w:pPr>
        <w:pStyle w:val="6"/>
        <w:spacing w:line="520" w:lineRule="exact"/>
        <w:ind w:firstLine="1044"/>
        <w:rPr>
          <w:rStyle w:val="30"/>
          <w:rFonts w:ascii="Arial" w:hAnsi="Arial" w:cs="Arial"/>
          <w:b/>
          <w:sz w:val="52"/>
          <w:szCs w:val="44"/>
        </w:rPr>
      </w:pPr>
    </w:p>
    <w:p>
      <w:pPr>
        <w:pStyle w:val="6"/>
        <w:spacing w:line="520" w:lineRule="exact"/>
        <w:ind w:firstLine="0" w:firstLineChars="0"/>
        <w:jc w:val="center"/>
        <w:rPr>
          <w:rStyle w:val="30"/>
          <w:rFonts w:hint="eastAsia" w:ascii="Arial" w:hAnsi="Arial" w:cs="Arial"/>
          <w:b/>
          <w:sz w:val="52"/>
          <w:szCs w:val="44"/>
        </w:rPr>
      </w:pPr>
      <w:r>
        <w:rPr>
          <w:rStyle w:val="30"/>
          <w:rFonts w:ascii="Arial" w:hAnsi="Arial" w:cs="Arial"/>
          <w:b/>
          <w:sz w:val="52"/>
          <w:szCs w:val="44"/>
        </w:rPr>
        <w:t>&lt;</w:t>
      </w:r>
      <w:r>
        <w:rPr>
          <w:rStyle w:val="30"/>
          <w:rFonts w:hint="eastAsia" w:ascii="Arial" w:hAnsi="Arial" w:cs="Arial"/>
          <w:b/>
          <w:sz w:val="52"/>
          <w:szCs w:val="44"/>
          <w:lang w:val="en-US" w:eastAsia="zh-CN"/>
        </w:rPr>
        <w:t>技术协议</w:t>
      </w:r>
      <w:r>
        <w:rPr>
          <w:rStyle w:val="30"/>
          <w:rFonts w:ascii="Arial" w:hAnsi="Arial" w:cs="Arial"/>
          <w:b/>
          <w:sz w:val="52"/>
          <w:szCs w:val="44"/>
        </w:rPr>
        <w:t>&gt;</w:t>
      </w:r>
    </w:p>
    <w:p>
      <w:pPr>
        <w:pStyle w:val="6"/>
        <w:spacing w:line="520" w:lineRule="exact"/>
        <w:ind w:firstLine="482"/>
        <w:jc w:val="left"/>
        <w:rPr>
          <w:rStyle w:val="30"/>
          <w:rFonts w:hAnsi="宋体" w:cs="宋体"/>
          <w:b/>
        </w:rPr>
      </w:pPr>
    </w:p>
    <w:p>
      <w:pPr>
        <w:pStyle w:val="6"/>
        <w:spacing w:line="520" w:lineRule="exact"/>
        <w:ind w:firstLine="482"/>
        <w:jc w:val="left"/>
        <w:rPr>
          <w:rStyle w:val="30"/>
          <w:rFonts w:hint="eastAsia" w:hAnsi="宋体" w:cs="宋体"/>
          <w:b/>
        </w:rPr>
      </w:pPr>
    </w:p>
    <w:p>
      <w:pPr>
        <w:pStyle w:val="6"/>
        <w:spacing w:line="520" w:lineRule="exact"/>
        <w:ind w:firstLine="482"/>
        <w:jc w:val="left"/>
        <w:rPr>
          <w:rStyle w:val="30"/>
          <w:rFonts w:hint="eastAsia" w:hAnsi="宋体" w:cs="宋体"/>
          <w:b/>
        </w:rPr>
      </w:pPr>
    </w:p>
    <w:p>
      <w:pPr>
        <w:spacing w:line="360" w:lineRule="auto"/>
        <w:jc w:val="center"/>
        <w:rPr>
          <w:rFonts w:hint="eastAsia" w:ascii="宋体" w:hAnsi="宋体" w:cs="宋体"/>
          <w:b/>
          <w:bCs/>
        </w:rPr>
      </w:pPr>
    </w:p>
    <w:p>
      <w:pPr>
        <w:spacing w:line="360" w:lineRule="auto"/>
        <w:jc w:val="center"/>
        <w:outlineLvl w:val="0"/>
        <w:rPr>
          <w:rFonts w:hint="eastAsia" w:ascii="宋体" w:hAnsi="宋体" w:cs="宋体"/>
          <w:b/>
          <w:bCs/>
          <w:sz w:val="28"/>
          <w:szCs w:val="28"/>
        </w:rPr>
      </w:pPr>
      <w:bookmarkStart w:id="202" w:name="_Toc1997"/>
      <w:bookmarkStart w:id="203" w:name="_Toc3902"/>
      <w:r>
        <w:rPr>
          <w:rStyle w:val="30"/>
          <w:rFonts w:hint="eastAsia" w:ascii="宋体" w:hAnsi="宋体" w:cs="宋体"/>
          <w:b/>
          <w:sz w:val="28"/>
          <w:szCs w:val="28"/>
        </w:rPr>
        <w:t>甲方</w:t>
      </w:r>
      <w:r>
        <w:rPr>
          <w:rFonts w:hint="eastAsia" w:ascii="宋体" w:hAnsi="宋体" w:cs="宋体"/>
          <w:b/>
          <w:bCs/>
          <w:sz w:val="28"/>
          <w:szCs w:val="28"/>
        </w:rPr>
        <w:t>：川楚联合国际工程有限公司</w:t>
      </w:r>
      <w:bookmarkEnd w:id="202"/>
      <w:bookmarkEnd w:id="203"/>
    </w:p>
    <w:p>
      <w:pPr>
        <w:spacing w:line="360" w:lineRule="auto"/>
        <w:ind w:firstLine="1961" w:firstLineChars="700"/>
        <w:jc w:val="both"/>
        <w:outlineLvl w:val="0"/>
        <w:rPr>
          <w:rFonts w:hint="default" w:ascii="宋体" w:hAnsi="宋体" w:eastAsia="宋体" w:cs="宋体"/>
          <w:b/>
          <w:bCs/>
          <w:sz w:val="28"/>
          <w:szCs w:val="28"/>
          <w:lang w:val="en-US" w:eastAsia="zh-CN"/>
        </w:rPr>
      </w:pPr>
      <w:bookmarkStart w:id="204" w:name="_Toc14803"/>
      <w:bookmarkStart w:id="205" w:name="_Toc22987"/>
      <w:r>
        <w:rPr>
          <w:rStyle w:val="30"/>
          <w:rFonts w:hint="eastAsia" w:ascii="宋体" w:hAnsi="宋体" w:cs="宋体"/>
          <w:b/>
          <w:sz w:val="28"/>
          <w:szCs w:val="28"/>
        </w:rPr>
        <w:t>乙方</w:t>
      </w:r>
      <w:r>
        <w:rPr>
          <w:rFonts w:hint="eastAsia" w:ascii="宋体" w:hAnsi="宋体" w:cs="宋体"/>
          <w:b/>
          <w:bCs/>
          <w:sz w:val="28"/>
          <w:szCs w:val="28"/>
        </w:rPr>
        <w:t>：</w:t>
      </w:r>
      <w:bookmarkEnd w:id="204"/>
      <w:bookmarkEnd w:id="205"/>
      <w:r>
        <w:rPr>
          <w:rFonts w:hint="eastAsia" w:ascii="宋体" w:hAnsi="宋体" w:eastAsia="宋体" w:cs="宋体"/>
          <w:b/>
          <w:bCs/>
          <w:sz w:val="28"/>
          <w:szCs w:val="28"/>
          <w:lang w:val="en-US" w:eastAsia="zh-CN"/>
        </w:rPr>
        <w:t xml:space="preserve">   </w:t>
      </w:r>
    </w:p>
    <w:p>
      <w:pPr>
        <w:ind w:firstLine="2801" w:firstLineChars="1000"/>
        <w:rPr>
          <w:rFonts w:hint="eastAsia" w:ascii="宋体" w:hAnsi="宋体" w:cs="宋体"/>
          <w:b/>
          <w:bCs/>
          <w:sz w:val="28"/>
          <w:szCs w:val="28"/>
        </w:rPr>
      </w:pPr>
    </w:p>
    <w:p>
      <w:pPr>
        <w:ind w:firstLine="2801" w:firstLineChars="1000"/>
        <w:rPr>
          <w:rFonts w:hint="eastAsia" w:ascii="宋体" w:hAnsi="宋体" w:cs="宋体"/>
          <w:b/>
          <w:bCs/>
          <w:sz w:val="28"/>
          <w:szCs w:val="28"/>
        </w:rPr>
      </w:pPr>
    </w:p>
    <w:p>
      <w:pPr>
        <w:ind w:firstLine="2801" w:firstLineChars="1000"/>
        <w:rPr>
          <w:rFonts w:hint="eastAsia" w:ascii="宋体" w:hAnsi="宋体" w:cs="宋体"/>
          <w:b/>
          <w:bCs/>
          <w:sz w:val="28"/>
          <w:szCs w:val="28"/>
        </w:rPr>
      </w:pPr>
      <w:r>
        <w:rPr>
          <w:rFonts w:hint="eastAsia" w:ascii="宋体" w:hAnsi="宋体" w:cs="宋体"/>
          <w:b/>
          <w:bCs/>
          <w:sz w:val="28"/>
          <w:szCs w:val="28"/>
        </w:rPr>
        <w:t>日期：</w:t>
      </w:r>
      <w:r>
        <w:rPr>
          <w:rFonts w:hint="eastAsia" w:ascii="宋体" w:hAnsi="宋体" w:cs="宋体"/>
          <w:b/>
          <w:bCs/>
          <w:sz w:val="28"/>
          <w:szCs w:val="28"/>
          <w:u w:val="single"/>
        </w:rPr>
        <w:t>2023</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widowControl w:val="0"/>
        <w:kinsoku/>
        <w:autoSpaceDE/>
        <w:autoSpaceDN/>
        <w:adjustRightInd w:val="0"/>
        <w:snapToGrid w:val="0"/>
        <w:spacing w:before="120" w:after="120" w:line="240" w:lineRule="auto"/>
        <w:jc w:val="left"/>
        <w:textAlignment w:val="baseline"/>
        <w:rPr>
          <w:rFonts w:hint="eastAsia" w:ascii="宋体" w:hAnsi="宋体" w:eastAsia="宋体" w:cs="宋体"/>
          <w:b/>
          <w:bCs/>
          <w:snapToGrid/>
          <w:color w:val="000000"/>
          <w:kern w:val="0"/>
          <w:sz w:val="24"/>
          <w:szCs w:val="24"/>
          <w:lang w:val="en-US" w:eastAsia="zh-CN" w:bidi="ar-SA"/>
        </w:rPr>
      </w:pPr>
    </w:p>
    <w:p>
      <w:pPr>
        <w:widowControl w:val="0"/>
        <w:kinsoku/>
        <w:autoSpaceDE/>
        <w:autoSpaceDN/>
        <w:adjustRightInd w:val="0"/>
        <w:snapToGrid w:val="0"/>
        <w:spacing w:before="120" w:after="120" w:line="240" w:lineRule="auto"/>
        <w:jc w:val="left"/>
        <w:textAlignment w:val="baseline"/>
        <w:rPr>
          <w:rFonts w:hint="eastAsia" w:ascii="宋体" w:hAnsi="宋体" w:eastAsia="宋体" w:cs="宋体"/>
          <w:b/>
          <w:bCs/>
          <w:snapToGrid/>
          <w:color w:val="000000"/>
          <w:kern w:val="0"/>
          <w:sz w:val="24"/>
          <w:szCs w:val="24"/>
          <w:lang w:val="en-US" w:eastAsia="zh-CN" w:bidi="ar-SA"/>
        </w:rPr>
      </w:pPr>
    </w:p>
    <w:p>
      <w:pPr>
        <w:widowControl w:val="0"/>
        <w:kinsoku/>
        <w:autoSpaceDE/>
        <w:autoSpaceDN/>
        <w:adjustRightInd w:val="0"/>
        <w:snapToGrid w:val="0"/>
        <w:spacing w:before="120" w:after="120" w:line="240" w:lineRule="auto"/>
        <w:jc w:val="left"/>
        <w:textAlignment w:val="baseline"/>
        <w:rPr>
          <w:rFonts w:hint="eastAsia" w:ascii="宋体" w:hAnsi="宋体" w:eastAsia="宋体" w:cs="宋体"/>
          <w:b/>
          <w:bCs/>
          <w:snapToGrid/>
          <w:color w:val="000000"/>
          <w:kern w:val="0"/>
          <w:sz w:val="24"/>
          <w:szCs w:val="24"/>
          <w:lang w:val="en-US" w:eastAsia="zh-CN" w:bidi="ar-SA"/>
        </w:rPr>
      </w:pPr>
    </w:p>
    <w:p>
      <w:pPr>
        <w:widowControl w:val="0"/>
        <w:kinsoku/>
        <w:autoSpaceDE/>
        <w:autoSpaceDN/>
        <w:adjustRightInd w:val="0"/>
        <w:snapToGrid w:val="0"/>
        <w:spacing w:before="120" w:after="120" w:line="240" w:lineRule="auto"/>
        <w:jc w:val="left"/>
        <w:textAlignment w:val="baseline"/>
        <w:rPr>
          <w:rFonts w:hint="eastAsia" w:ascii="宋体" w:hAnsi="宋体" w:eastAsia="宋体" w:cs="宋体"/>
          <w:b/>
          <w:bCs/>
          <w:snapToGrid/>
          <w:color w:val="000000"/>
          <w:kern w:val="0"/>
          <w:sz w:val="24"/>
          <w:szCs w:val="24"/>
          <w:lang w:val="en-US" w:eastAsia="zh-CN" w:bidi="ar-SA"/>
        </w:rPr>
      </w:pPr>
    </w:p>
    <w:p>
      <w:pPr>
        <w:widowControl w:val="0"/>
        <w:kinsoku/>
        <w:autoSpaceDE/>
        <w:autoSpaceDN/>
        <w:adjustRightInd w:val="0"/>
        <w:snapToGrid w:val="0"/>
        <w:spacing w:before="120" w:after="120" w:line="240" w:lineRule="auto"/>
        <w:jc w:val="left"/>
        <w:textAlignment w:val="baseline"/>
        <w:rPr>
          <w:rFonts w:hint="eastAsia" w:ascii="宋体" w:hAnsi="宋体" w:eastAsia="宋体" w:cs="宋体"/>
          <w:b/>
          <w:bCs/>
          <w:snapToGrid/>
          <w:color w:val="000000"/>
          <w:kern w:val="0"/>
          <w:sz w:val="24"/>
          <w:szCs w:val="24"/>
          <w:lang w:val="en-US" w:eastAsia="zh-CN" w:bidi="ar-SA"/>
        </w:rPr>
      </w:pPr>
    </w:p>
    <w:p>
      <w:pPr>
        <w:pStyle w:val="16"/>
        <w:rPr>
          <w:rFonts w:hint="eastAsia" w:ascii="宋体" w:hAnsi="宋体" w:eastAsia="宋体" w:cs="宋体"/>
          <w:b/>
          <w:bCs/>
          <w:snapToGrid/>
          <w:color w:val="000000"/>
          <w:kern w:val="0"/>
          <w:sz w:val="24"/>
          <w:szCs w:val="24"/>
          <w:lang w:val="en-US" w:eastAsia="zh-CN" w:bidi="ar-SA"/>
        </w:rPr>
      </w:pPr>
    </w:p>
    <w:p>
      <w:pPr>
        <w:pStyle w:val="17"/>
        <w:rPr>
          <w:rFonts w:hint="eastAsia" w:ascii="宋体" w:hAnsi="宋体" w:eastAsia="宋体" w:cs="宋体"/>
          <w:b/>
          <w:bCs/>
          <w:snapToGrid/>
          <w:color w:val="000000"/>
          <w:kern w:val="0"/>
          <w:sz w:val="24"/>
          <w:szCs w:val="24"/>
          <w:lang w:val="en-US" w:eastAsia="zh-CN" w:bidi="ar-SA"/>
        </w:rPr>
      </w:pPr>
    </w:p>
    <w:p>
      <w:pPr>
        <w:pStyle w:val="17"/>
        <w:rPr>
          <w:rFonts w:hint="eastAsia" w:ascii="宋体" w:hAnsi="宋体" w:eastAsia="宋体" w:cs="宋体"/>
          <w:b/>
          <w:bCs/>
          <w:snapToGrid/>
          <w:color w:val="000000"/>
          <w:kern w:val="0"/>
          <w:sz w:val="24"/>
          <w:szCs w:val="24"/>
          <w:lang w:val="en-US" w:eastAsia="zh-CN" w:bidi="ar-SA"/>
        </w:rPr>
      </w:pPr>
    </w:p>
    <w:p>
      <w:pPr>
        <w:pStyle w:val="17"/>
        <w:rPr>
          <w:rFonts w:hint="eastAsia" w:ascii="宋体" w:hAnsi="宋体" w:eastAsia="宋体" w:cs="宋体"/>
          <w:b/>
          <w:bCs/>
          <w:snapToGrid/>
          <w:color w:val="000000"/>
          <w:kern w:val="0"/>
          <w:sz w:val="24"/>
          <w:szCs w:val="24"/>
          <w:lang w:val="en-US" w:eastAsia="zh-CN" w:bidi="ar-SA"/>
        </w:rPr>
      </w:pPr>
    </w:p>
    <w:p>
      <w:pPr>
        <w:widowControl w:val="0"/>
        <w:kinsoku/>
        <w:autoSpaceDE/>
        <w:autoSpaceDN/>
        <w:adjustRightInd w:val="0"/>
        <w:snapToGrid w:val="0"/>
        <w:spacing w:before="120" w:after="120" w:line="360" w:lineRule="auto"/>
        <w:jc w:val="left"/>
        <w:textAlignment w:val="baseline"/>
        <w:rPr>
          <w:rFonts w:hint="eastAsia" w:ascii="宋体" w:hAnsi="宋体" w:eastAsia="宋体" w:cs="宋体"/>
          <w:b/>
          <w:bCs/>
          <w:snapToGrid/>
          <w:color w:val="000000"/>
          <w:kern w:val="0"/>
          <w:sz w:val="24"/>
          <w:szCs w:val="24"/>
          <w:lang w:val="en-US" w:eastAsia="zh-CN" w:bidi="ar-SA"/>
        </w:rPr>
      </w:pPr>
      <w:r>
        <w:rPr>
          <w:rFonts w:hint="eastAsia" w:ascii="宋体" w:hAnsi="宋体" w:eastAsia="宋体" w:cs="宋体"/>
          <w:b/>
          <w:bCs/>
          <w:snapToGrid/>
          <w:color w:val="000000"/>
          <w:kern w:val="0"/>
          <w:sz w:val="24"/>
          <w:szCs w:val="24"/>
          <w:lang w:val="en-US" w:eastAsia="zh-CN" w:bidi="ar-SA"/>
        </w:rPr>
        <w:t>以下为本《技术协议》的详细内容，所有商务合同重要组成部分，所有涉及到的内容均和商务合同具有同等法律效力。</w:t>
      </w:r>
    </w:p>
    <w:p>
      <w:pPr>
        <w:keepNext/>
        <w:widowControl w:val="0"/>
        <w:numPr>
          <w:ilvl w:val="0"/>
          <w:numId w:val="4"/>
        </w:numPr>
        <w:bidi w:val="0"/>
        <w:spacing w:line="360" w:lineRule="auto"/>
        <w:ind w:left="720" w:hanging="720"/>
        <w:jc w:val="both"/>
        <w:outlineLvl w:val="0"/>
        <w:rPr>
          <w:rFonts w:ascii="Arial" w:hAnsi="Arial" w:eastAsia="新宋体" w:cs="Times New Roman"/>
          <w:b/>
          <w:bCs/>
          <w:color w:val="000000"/>
          <w:kern w:val="2"/>
          <w:sz w:val="24"/>
          <w:szCs w:val="24"/>
          <w:lang w:val="en-US" w:eastAsia="zh-CN" w:bidi="ar-SA"/>
        </w:rPr>
      </w:pPr>
      <w:bookmarkStart w:id="206" w:name="_Toc13953"/>
      <w:bookmarkStart w:id="207" w:name="_Toc30827"/>
      <w:r>
        <w:rPr>
          <w:rFonts w:ascii="Arial" w:hAnsi="Arial" w:eastAsia="新宋体" w:cs="Times New Roman"/>
          <w:b/>
          <w:bCs/>
          <w:color w:val="000000"/>
          <w:kern w:val="2"/>
          <w:sz w:val="24"/>
          <w:szCs w:val="24"/>
          <w:lang w:val="en-US" w:eastAsia="zh-CN" w:bidi="ar-SA"/>
        </w:rPr>
        <w:t>工程概况</w:t>
      </w:r>
      <w:bookmarkEnd w:id="206"/>
      <w:bookmarkEnd w:id="207"/>
    </w:p>
    <w:p>
      <w:pPr>
        <w:widowControl w:val="0"/>
        <w:kinsoku/>
        <w:autoSpaceDE/>
        <w:autoSpaceDN/>
        <w:bidi w:val="0"/>
        <w:adjustRightInd w:val="0"/>
        <w:snapToGrid/>
        <w:spacing w:before="120" w:after="120" w:line="360" w:lineRule="auto"/>
        <w:jc w:val="left"/>
        <w:textAlignment w:val="baseline"/>
        <w:rPr>
          <w:rFonts w:ascii="方正粗圆简体" w:hAnsi="方正粗圆简体" w:eastAsia="宋体" w:cs="Arial"/>
          <w:snapToGrid/>
          <w:color w:val="000000"/>
          <w:kern w:val="0"/>
          <w:sz w:val="24"/>
          <w:szCs w:val="20"/>
          <w:lang w:val="en-US" w:eastAsia="zh-CN" w:bidi="ar-SA"/>
        </w:rPr>
      </w:pPr>
      <w:r>
        <w:rPr>
          <w:rFonts w:ascii="方正粗圆简体" w:hAnsi="方正粗圆简体" w:eastAsia="宋体" w:cs="Arial"/>
          <w:b/>
          <w:bCs/>
          <w:snapToGrid/>
          <w:color w:val="000000"/>
          <w:kern w:val="0"/>
          <w:sz w:val="24"/>
          <w:szCs w:val="20"/>
          <w:lang w:val="en-US" w:eastAsia="zh-CN" w:bidi="ar-SA"/>
        </w:rPr>
        <w:t>1. 工程名称</w:t>
      </w:r>
      <w:r>
        <w:rPr>
          <w:rFonts w:ascii="方正粗圆简体" w:hAnsi="方正粗圆简体" w:eastAsia="宋体" w:cs="Arial"/>
          <w:snapToGrid/>
          <w:color w:val="000000"/>
          <w:kern w:val="0"/>
          <w:sz w:val="24"/>
          <w:szCs w:val="20"/>
          <w:lang w:val="en-US" w:eastAsia="zh-CN" w:bidi="ar-SA"/>
        </w:rPr>
        <w:t>：</w:t>
      </w:r>
    </w:p>
    <w:p>
      <w:pPr>
        <w:widowControl w:val="0"/>
        <w:kinsoku/>
        <w:autoSpaceDE/>
        <w:autoSpaceDN/>
        <w:bidi w:val="0"/>
        <w:adjustRightInd w:val="0"/>
        <w:snapToGrid/>
        <w:spacing w:before="120" w:after="120" w:line="360" w:lineRule="auto"/>
        <w:jc w:val="left"/>
        <w:textAlignment w:val="baseline"/>
        <w:rPr>
          <w:rFonts w:ascii="方正粗圆简体" w:hAnsi="方正粗圆简体" w:eastAsia="宋体" w:cs="Arial"/>
          <w:snapToGrid/>
          <w:color w:val="000000"/>
          <w:kern w:val="0"/>
          <w:sz w:val="24"/>
          <w:szCs w:val="20"/>
          <w:lang w:val="en-US" w:eastAsia="zh-CN" w:bidi="ar-SA"/>
        </w:rPr>
      </w:pPr>
      <w:r>
        <w:rPr>
          <w:rFonts w:ascii="方正粗圆简体" w:hAnsi="方正粗圆简体" w:eastAsia="宋体" w:cs="Arial"/>
          <w:b/>
          <w:bCs/>
          <w:snapToGrid/>
          <w:color w:val="000000"/>
          <w:kern w:val="0"/>
          <w:sz w:val="24"/>
          <w:szCs w:val="20"/>
          <w:lang w:val="en-US" w:eastAsia="zh-CN" w:bidi="ar-SA"/>
        </w:rPr>
        <w:t>2. 工程地点</w:t>
      </w:r>
      <w:r>
        <w:rPr>
          <w:rFonts w:ascii="方正粗圆简体" w:hAnsi="方正粗圆简体" w:eastAsia="宋体" w:cs="Arial"/>
          <w:snapToGrid/>
          <w:color w:val="000000"/>
          <w:kern w:val="0"/>
          <w:sz w:val="24"/>
          <w:szCs w:val="20"/>
          <w:lang w:val="en-US" w:eastAsia="zh-CN" w:bidi="ar-SA"/>
        </w:rPr>
        <w:t>：</w:t>
      </w:r>
    </w:p>
    <w:p>
      <w:pPr>
        <w:widowControl w:val="0"/>
        <w:kinsoku/>
        <w:autoSpaceDE/>
        <w:autoSpaceDN/>
        <w:bidi w:val="0"/>
        <w:adjustRightInd/>
        <w:snapToGrid/>
        <w:spacing w:line="360" w:lineRule="auto"/>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方正粗圆简体" w:hAnsi="方正粗圆简体" w:eastAsia="宋体" w:cs="Arial"/>
          <w:b/>
          <w:bCs/>
          <w:snapToGrid/>
          <w:color w:val="000000"/>
          <w:kern w:val="0"/>
          <w:sz w:val="24"/>
          <w:szCs w:val="20"/>
          <w:lang w:val="en-US" w:eastAsia="zh-CN" w:bidi="ar-SA"/>
        </w:rPr>
        <w:t>3. 工程</w:t>
      </w:r>
      <w:r>
        <w:rPr>
          <w:rFonts w:ascii="方正粗圆简体" w:hAnsi="方正粗圆简体" w:eastAsia="宋体" w:cs="Arial"/>
          <w:b/>
          <w:bCs/>
          <w:snapToGrid/>
          <w:color w:val="000000"/>
          <w:kern w:val="0"/>
          <w:sz w:val="24"/>
          <w:szCs w:val="20"/>
          <w:lang w:val="en-US" w:eastAsia="zh-CN" w:bidi="ar-SA"/>
        </w:rPr>
        <w:t>范围</w:t>
      </w:r>
      <w:r>
        <w:rPr>
          <w:rFonts w:ascii="方正粗圆简体" w:hAnsi="方正粗圆简体" w:eastAsia="宋体" w:cs="Arial"/>
          <w:snapToGrid/>
          <w:color w:val="000000"/>
          <w:kern w:val="0"/>
          <w:sz w:val="24"/>
          <w:szCs w:val="20"/>
          <w:lang w:val="en-US" w:eastAsia="zh-CN" w:bidi="ar-SA"/>
        </w:rPr>
        <w:t>：</w:t>
      </w:r>
      <w:r>
        <w:rPr>
          <w:rFonts w:hint="eastAsia" w:ascii="方正粗圆简体" w:hAnsi="方正粗圆简体" w:eastAsia="宋体" w:cs="Arial"/>
          <w:snapToGrid/>
          <w:color w:val="000000"/>
          <w:kern w:val="0"/>
          <w:sz w:val="24"/>
          <w:szCs w:val="20"/>
          <w:lang w:val="en-US" w:eastAsia="zh-CN" w:bidi="ar-SA"/>
        </w:rPr>
        <w:t xml:space="preserve"> 的供货及安装，包括但不限于按技术规范和要求完成全部供货设备及附件的采购、运输、到场卸货、吊装、二次搬运、安装、调试、验收、移交、保修等全部及相关工作内容。</w:t>
      </w:r>
    </w:p>
    <w:p>
      <w:pPr>
        <w:widowControl w:val="0"/>
        <w:kinsoku/>
        <w:autoSpaceDE/>
        <w:autoSpaceDN/>
        <w:bidi w:val="0"/>
        <w:adjustRightInd w:val="0"/>
        <w:snapToGrid/>
        <w:spacing w:before="120" w:after="120" w:line="360" w:lineRule="auto"/>
        <w:jc w:val="left"/>
        <w:textAlignment w:val="baseline"/>
        <w:rPr>
          <w:rFonts w:hint="eastAsia" w:ascii="方正粗圆简体" w:hAnsi="方正粗圆简体" w:eastAsia="宋体" w:cs="Arial"/>
          <w:b/>
          <w:bCs/>
          <w:snapToGrid/>
          <w:color w:val="000000"/>
          <w:kern w:val="0"/>
          <w:sz w:val="24"/>
          <w:szCs w:val="20"/>
          <w:lang w:val="en-US" w:eastAsia="zh-CN" w:bidi="ar-SA"/>
        </w:rPr>
      </w:pPr>
      <w:r>
        <w:rPr>
          <w:rFonts w:hint="eastAsia" w:ascii="方正粗圆简体" w:hAnsi="方正粗圆简体" w:eastAsia="宋体" w:cs="Arial"/>
          <w:b/>
          <w:bCs/>
          <w:snapToGrid/>
          <w:color w:val="000000"/>
          <w:kern w:val="0"/>
          <w:sz w:val="24"/>
          <w:szCs w:val="20"/>
          <w:lang w:val="en-US" w:eastAsia="zh-CN" w:bidi="ar-SA"/>
        </w:rPr>
        <w:t>4. 工程界限：</w:t>
      </w:r>
    </w:p>
    <w:p>
      <w:pPr>
        <w:widowControl w:val="0"/>
        <w:kinsoku/>
        <w:autoSpaceDE/>
        <w:autoSpaceDN/>
        <w:bidi w:val="0"/>
        <w:adjustRightInd/>
        <w:snapToGrid/>
        <w:spacing w:line="360" w:lineRule="auto"/>
        <w:jc w:val="both"/>
        <w:textAlignment w:val="auto"/>
        <w:rPr>
          <w:rFonts w:hint="eastAsia" w:ascii="方正粗圆简体" w:hAnsi="方正粗圆简体" w:eastAsia="宋体" w:cs="Arial"/>
          <w:b/>
          <w:bCs/>
          <w:snapToGrid/>
          <w:color w:val="000000"/>
          <w:kern w:val="0"/>
          <w:szCs w:val="20"/>
          <w:lang w:val="en-US" w:eastAsia="zh-CN" w:bidi="ar-SA"/>
        </w:rPr>
      </w:pPr>
      <w:r>
        <w:rPr>
          <w:rFonts w:hint="eastAsia" w:ascii="方正粗圆简体" w:hAnsi="方正粗圆简体" w:eastAsia="宋体" w:cs="Arial"/>
          <w:b/>
          <w:bCs/>
          <w:snapToGrid/>
          <w:color w:val="000000"/>
          <w:kern w:val="0"/>
          <w:szCs w:val="20"/>
          <w:lang w:val="en-US" w:eastAsia="zh-CN" w:bidi="ar-SA"/>
        </w:rPr>
        <w:t>5.概述：</w:t>
      </w:r>
    </w:p>
    <w:p>
      <w:pPr>
        <w:widowControl w:val="0"/>
        <w:kinsoku/>
        <w:autoSpaceDE/>
        <w:autoSpaceDN/>
        <w:bidi w:val="0"/>
        <w:adjustRightInd w:val="0"/>
        <w:snapToGrid/>
        <w:spacing w:before="120" w:after="120" w:line="360" w:lineRule="auto"/>
        <w:ind w:firstLine="480" w:firstLineChars="200"/>
        <w:jc w:val="left"/>
        <w:textAlignment w:val="baseline"/>
        <w:rPr>
          <w:rFonts w:hint="eastAsia" w:ascii="方正粗圆简体" w:hAnsi="方正粗圆简体" w:eastAsia="宋体" w:cs="Arial"/>
          <w:snapToGrid/>
          <w:color w:val="000000"/>
          <w:kern w:val="0"/>
          <w:sz w:val="24"/>
          <w:szCs w:val="20"/>
          <w:lang w:val="en-US" w:eastAsia="zh-CN" w:bidi="ar-SA"/>
        </w:rPr>
      </w:pPr>
      <w:r>
        <w:rPr>
          <w:rFonts w:hint="eastAsia" w:ascii="方正粗圆简体" w:hAnsi="方正粗圆简体" w:eastAsia="宋体" w:cs="Arial"/>
          <w:snapToGrid/>
          <w:color w:val="000000"/>
          <w:kern w:val="0"/>
          <w:sz w:val="24"/>
          <w:szCs w:val="20"/>
          <w:lang w:val="en-US" w:eastAsia="zh-CN" w:bidi="ar-SA"/>
        </w:rPr>
        <w:t>本技术要求使用范围仅限于        的供货要求。卖方提供的货物，均需通过型式试验和鉴定，并经长期实践运行证明产品质量优良，安全可靠。</w:t>
      </w:r>
    </w:p>
    <w:p>
      <w:pPr>
        <w:widowControl w:val="0"/>
        <w:numPr>
          <w:ilvl w:val="0"/>
          <w:numId w:val="0"/>
        </w:numPr>
        <w:kinsoku/>
        <w:autoSpaceDE/>
        <w:autoSpaceDN/>
        <w:bidi w:val="0"/>
        <w:adjustRightInd w:val="0"/>
        <w:snapToGrid/>
        <w:spacing w:before="120" w:after="120" w:line="360" w:lineRule="auto"/>
        <w:ind w:leftChars="0"/>
        <w:jc w:val="left"/>
        <w:textAlignment w:val="baseline"/>
        <w:rPr>
          <w:rFonts w:hint="eastAsia" w:ascii="方正粗圆简体" w:hAnsi="方正粗圆简体" w:eastAsia="宋体" w:cs="Arial"/>
          <w:snapToGrid/>
          <w:color w:val="000000"/>
          <w:kern w:val="0"/>
          <w:sz w:val="24"/>
          <w:szCs w:val="20"/>
          <w:lang w:val="en-US" w:eastAsia="zh-CN" w:bidi="ar-SA"/>
        </w:rPr>
      </w:pPr>
      <w:r>
        <w:rPr>
          <w:rFonts w:hint="eastAsia" w:ascii="方正粗圆简体" w:hAnsi="方正粗圆简体" w:eastAsia="宋体" w:cs="Arial"/>
          <w:snapToGrid/>
          <w:color w:val="000000"/>
          <w:kern w:val="0"/>
          <w:sz w:val="24"/>
          <w:szCs w:val="20"/>
          <w:lang w:val="en-US" w:eastAsia="zh-CN" w:bidi="ar-SA"/>
        </w:rPr>
        <w:t>5.1招标文件技术条款中提出的是最低限度的技术要求，并未对一切技术细节作出规定，也未充分引述有关标准和规范的条文如遇与卖方所使用的标准不一致时，按较高标准执行。</w:t>
      </w:r>
    </w:p>
    <w:p>
      <w:pPr>
        <w:widowControl w:val="0"/>
        <w:numPr>
          <w:ilvl w:val="0"/>
          <w:numId w:val="0"/>
        </w:numPr>
        <w:kinsoku/>
        <w:autoSpaceDE/>
        <w:autoSpaceDN/>
        <w:bidi w:val="0"/>
        <w:adjustRightInd w:val="0"/>
        <w:snapToGrid/>
        <w:spacing w:before="120" w:after="120" w:line="360" w:lineRule="auto"/>
        <w:ind w:leftChars="0"/>
        <w:jc w:val="left"/>
        <w:textAlignment w:val="baseline"/>
        <w:rPr>
          <w:rFonts w:hint="eastAsia" w:ascii="方正粗圆简体" w:hAnsi="方正粗圆简体" w:eastAsia="宋体" w:cs="Arial"/>
          <w:snapToGrid/>
          <w:color w:val="000000"/>
          <w:kern w:val="0"/>
          <w:sz w:val="24"/>
          <w:szCs w:val="20"/>
          <w:lang w:val="en-US" w:eastAsia="zh-CN" w:bidi="ar-SA"/>
        </w:rPr>
      </w:pPr>
      <w:r>
        <w:rPr>
          <w:rFonts w:hint="eastAsia" w:ascii="方正粗圆简体" w:hAnsi="方正粗圆简体" w:eastAsia="宋体" w:cs="Arial"/>
          <w:snapToGrid/>
          <w:color w:val="000000"/>
          <w:kern w:val="0"/>
          <w:sz w:val="24"/>
          <w:szCs w:val="20"/>
          <w:lang w:val="en-US" w:eastAsia="zh-CN" w:bidi="ar-SA"/>
        </w:rPr>
        <w:t>5.2货物的主要零部件均应为标准化、系列化、通用化，易于配套使用的产品。</w:t>
      </w:r>
    </w:p>
    <w:p>
      <w:pPr>
        <w:widowControl w:val="0"/>
        <w:kinsoku/>
        <w:autoSpaceDE/>
        <w:autoSpaceDN/>
        <w:bidi w:val="0"/>
        <w:adjustRightInd/>
        <w:snapToGrid/>
        <w:spacing w:line="360" w:lineRule="auto"/>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方正粗圆简体" w:hAnsi="方正粗圆简体" w:eastAsia="宋体" w:cs="Arial"/>
          <w:b/>
          <w:bCs/>
          <w:snapToGrid/>
          <w:color w:val="000000"/>
          <w:kern w:val="0"/>
          <w:sz w:val="24"/>
          <w:szCs w:val="20"/>
          <w:lang w:val="en-US" w:eastAsia="zh-CN" w:bidi="ar-SA"/>
        </w:rPr>
        <w:t>6.</w:t>
      </w:r>
      <w:r>
        <w:rPr>
          <w:rFonts w:hint="eastAsia" w:ascii="方正粗圆简体" w:hAnsi="方正粗圆简体" w:eastAsia="宋体" w:cs="Arial"/>
          <w:b/>
          <w:bCs/>
          <w:snapToGrid/>
          <w:color w:val="000000"/>
          <w:kern w:val="0"/>
          <w:sz w:val="24"/>
          <w:szCs w:val="20"/>
          <w:highlight w:val="none"/>
          <w:lang w:val="en-US" w:eastAsia="zh-CN" w:bidi="ar-SA"/>
        </w:rPr>
        <w:t xml:space="preserve"> </w:t>
      </w:r>
      <w:r>
        <w:rPr>
          <w:rFonts w:hint="eastAsia" w:ascii="Times New Roman" w:hAnsi="Times New Roman" w:eastAsia="宋体" w:cs="Times New Roman"/>
          <w:b/>
          <w:bCs/>
          <w:snapToGrid/>
          <w:color w:val="000000"/>
          <w:kern w:val="2"/>
          <w:sz w:val="24"/>
          <w:szCs w:val="24"/>
          <w:highlight w:val="none"/>
          <w:lang w:val="en-US" w:eastAsia="zh-CN" w:bidi="ar-SA"/>
        </w:rPr>
        <w:t>整套系统工艺流程包括</w:t>
      </w:r>
      <w:r>
        <w:rPr>
          <w:rFonts w:hint="eastAsia" w:ascii="Times New Roman" w:hAnsi="Times New Roman" w:eastAsia="宋体" w:cs="Times New Roman"/>
          <w:snapToGrid/>
          <w:color w:val="000000"/>
          <w:kern w:val="2"/>
          <w:sz w:val="24"/>
          <w:szCs w:val="24"/>
          <w:highlight w:val="none"/>
          <w:lang w:val="en-US" w:eastAsia="zh-CN" w:bidi="ar-SA"/>
        </w:rPr>
        <w:t>：</w:t>
      </w:r>
    </w:p>
    <w:p>
      <w:pPr>
        <w:keepNext/>
        <w:widowControl w:val="0"/>
        <w:numPr>
          <w:ilvl w:val="0"/>
          <w:numId w:val="4"/>
        </w:numPr>
        <w:bidi w:val="0"/>
        <w:spacing w:line="360" w:lineRule="auto"/>
        <w:ind w:left="720" w:hanging="720"/>
        <w:jc w:val="both"/>
        <w:outlineLvl w:val="0"/>
        <w:rPr>
          <w:rFonts w:hint="eastAsia" w:ascii="Arial" w:hAnsi="Arial" w:eastAsia="新宋体" w:cs="Times New Roman"/>
          <w:b/>
          <w:bCs/>
          <w:kern w:val="2"/>
          <w:sz w:val="24"/>
          <w:szCs w:val="24"/>
          <w:lang w:val="en-US" w:eastAsia="zh-CN" w:bidi="ar-SA"/>
        </w:rPr>
      </w:pPr>
      <w:bookmarkStart w:id="208" w:name="_Toc4076"/>
      <w:bookmarkStart w:id="209" w:name="_Toc22178"/>
      <w:r>
        <w:rPr>
          <w:rFonts w:hint="eastAsia" w:ascii="Arial" w:hAnsi="Arial" w:eastAsia="新宋体" w:cs="Times New Roman"/>
          <w:b/>
          <w:bCs/>
          <w:kern w:val="2"/>
          <w:sz w:val="24"/>
          <w:szCs w:val="24"/>
          <w:lang w:val="en-US" w:eastAsia="zh-CN" w:bidi="ar-SA"/>
        </w:rPr>
        <w:t>基本要求</w:t>
      </w:r>
      <w:bookmarkEnd w:id="208"/>
      <w:bookmarkEnd w:id="209"/>
    </w:p>
    <w:p>
      <w:pPr>
        <w:widowControl w:val="0"/>
        <w:kinsoku/>
        <w:autoSpaceDE/>
        <w:autoSpaceDN/>
        <w:bidi w:val="0"/>
        <w:adjustRightInd w:val="0"/>
        <w:snapToGrid/>
        <w:spacing w:before="120" w:after="120" w:line="360" w:lineRule="auto"/>
        <w:jc w:val="left"/>
        <w:textAlignment w:val="baseline"/>
        <w:rPr>
          <w:rFonts w:hint="default" w:ascii="方正粗圆简体" w:hAnsi="方正粗圆简体" w:eastAsia="宋体" w:cs="Arial"/>
          <w:snapToGrid/>
          <w:color w:val="auto"/>
          <w:kern w:val="0"/>
          <w:sz w:val="24"/>
          <w:szCs w:val="20"/>
          <w:lang w:val="en-US" w:eastAsia="zh-CN" w:bidi="ar-SA"/>
        </w:rPr>
      </w:pPr>
      <w:r>
        <w:rPr>
          <w:rFonts w:hint="eastAsia" w:ascii="方正粗圆简体" w:hAnsi="方正粗圆简体" w:eastAsia="宋体" w:cs="Arial"/>
          <w:snapToGrid/>
          <w:color w:val="auto"/>
          <w:kern w:val="0"/>
          <w:sz w:val="24"/>
          <w:szCs w:val="20"/>
          <w:lang w:val="en-US" w:eastAsia="zh-CN" w:bidi="ar-SA"/>
        </w:rPr>
        <w:t xml:space="preserve">   本项目所选用</w:t>
      </w:r>
      <w:r>
        <w:rPr>
          <w:rFonts w:hint="eastAsia" w:ascii="方正粗圆简体" w:hAnsi="方正粗圆简体" w:eastAsia="宋体" w:cs="Arial"/>
          <w:snapToGrid/>
          <w:color w:val="auto"/>
          <w:kern w:val="0"/>
          <w:sz w:val="24"/>
          <w:szCs w:val="20"/>
          <w:u w:val="single"/>
          <w:lang w:val="en-US" w:eastAsia="zh-CN" w:bidi="ar-SA"/>
        </w:rPr>
        <w:t>成套设备</w:t>
      </w:r>
      <w:r>
        <w:rPr>
          <w:rFonts w:hint="eastAsia" w:ascii="方正粗圆简体" w:hAnsi="方正粗圆简体" w:eastAsia="宋体" w:cs="Arial"/>
          <w:snapToGrid/>
          <w:color w:val="auto"/>
          <w:kern w:val="0"/>
          <w:sz w:val="24"/>
          <w:szCs w:val="20"/>
          <w:lang w:val="en-US" w:eastAsia="zh-CN" w:bidi="ar-SA"/>
        </w:rPr>
        <w:t>的设计、制造、使用及安全应满足我国现行的国家标准及相关引用标准、规定了供货方遵循的技术要求、试验、标志、包装等。</w:t>
      </w:r>
    </w:p>
    <w:p>
      <w:pPr>
        <w:keepNext/>
        <w:widowControl w:val="0"/>
        <w:numPr>
          <w:ilvl w:val="0"/>
          <w:numId w:val="4"/>
        </w:numPr>
        <w:bidi w:val="0"/>
        <w:spacing w:line="360" w:lineRule="auto"/>
        <w:ind w:left="720" w:hanging="720"/>
        <w:jc w:val="both"/>
        <w:outlineLvl w:val="0"/>
        <w:rPr>
          <w:rFonts w:hint="eastAsia" w:ascii="Arial" w:hAnsi="Arial" w:eastAsia="新宋体" w:cs="Times New Roman"/>
          <w:b/>
          <w:bCs/>
          <w:color w:val="auto"/>
          <w:kern w:val="2"/>
          <w:sz w:val="24"/>
          <w:szCs w:val="24"/>
          <w:lang w:val="en-US" w:eastAsia="zh-CN" w:bidi="ar-SA"/>
        </w:rPr>
      </w:pPr>
      <w:bookmarkStart w:id="210" w:name="_Toc15929"/>
      <w:bookmarkStart w:id="211" w:name="_Toc12008"/>
      <w:r>
        <w:rPr>
          <w:rFonts w:hint="eastAsia" w:ascii="Arial" w:hAnsi="Arial" w:eastAsia="新宋体" w:cs="Times New Roman"/>
          <w:b/>
          <w:bCs/>
          <w:color w:val="auto"/>
          <w:kern w:val="2"/>
          <w:sz w:val="24"/>
          <w:szCs w:val="24"/>
          <w:lang w:val="en-US" w:eastAsia="zh-CN" w:bidi="ar-SA"/>
        </w:rPr>
        <w:t>使用环境条件</w:t>
      </w:r>
      <w:bookmarkEnd w:id="210"/>
      <w:bookmarkEnd w:id="211"/>
    </w:p>
    <w:p>
      <w:pPr>
        <w:widowControl w:val="0"/>
        <w:kinsoku/>
        <w:autoSpaceDE/>
        <w:autoSpaceDN/>
        <w:bidi w:val="0"/>
        <w:adjustRightInd w:val="0"/>
        <w:snapToGrid/>
        <w:spacing w:before="120" w:after="120" w:line="360" w:lineRule="auto"/>
        <w:jc w:val="left"/>
        <w:textAlignment w:val="baseline"/>
        <w:rPr>
          <w:rFonts w:ascii="方正粗圆简体" w:hAnsi="方正粗圆简体" w:eastAsia="宋体" w:cs="Arial"/>
          <w:snapToGrid/>
          <w:color w:val="auto"/>
          <w:kern w:val="0"/>
          <w:sz w:val="24"/>
          <w:szCs w:val="20"/>
          <w:lang w:val="en-US" w:eastAsia="zh-CN" w:bidi="ar-SA"/>
        </w:rPr>
      </w:pPr>
      <w:r>
        <w:rPr>
          <w:rFonts w:hint="eastAsia" w:ascii="方正粗圆简体" w:hAnsi="方正粗圆简体" w:eastAsia="宋体" w:cs="Arial"/>
          <w:snapToGrid/>
          <w:color w:val="auto"/>
          <w:kern w:val="0"/>
          <w:sz w:val="24"/>
          <w:szCs w:val="20"/>
          <w:lang w:val="en-US" w:eastAsia="zh-CN" w:bidi="ar-SA"/>
        </w:rPr>
        <w:t>1、海拔高度约20</w:t>
      </w:r>
      <w:r>
        <w:rPr>
          <w:rFonts w:ascii="方正粗圆简体" w:hAnsi="方正粗圆简体" w:eastAsia="宋体" w:cs="Arial"/>
          <w:snapToGrid/>
          <w:color w:val="auto"/>
          <w:kern w:val="0"/>
          <w:sz w:val="24"/>
          <w:szCs w:val="20"/>
          <w:lang w:val="en-US" w:eastAsia="zh-CN" w:bidi="ar-SA"/>
        </w:rPr>
        <w:t>00M</w:t>
      </w:r>
    </w:p>
    <w:p>
      <w:pPr>
        <w:widowControl w:val="0"/>
        <w:kinsoku/>
        <w:autoSpaceDE/>
        <w:autoSpaceDN/>
        <w:bidi w:val="0"/>
        <w:adjustRightInd w:val="0"/>
        <w:snapToGrid/>
        <w:spacing w:before="120" w:after="120" w:line="360" w:lineRule="auto"/>
        <w:jc w:val="left"/>
        <w:textAlignment w:val="baseline"/>
        <w:rPr>
          <w:rFonts w:hint="eastAsia" w:ascii="方正粗圆简体" w:hAnsi="方正粗圆简体" w:eastAsia="宋体" w:cs="Arial"/>
          <w:snapToGrid/>
          <w:color w:val="auto"/>
          <w:kern w:val="0"/>
          <w:sz w:val="24"/>
          <w:szCs w:val="20"/>
          <w:lang w:val="en-US" w:eastAsia="zh-CN" w:bidi="ar-SA"/>
        </w:rPr>
      </w:pPr>
      <w:r>
        <w:rPr>
          <w:rFonts w:hint="eastAsia" w:ascii="方正粗圆简体" w:hAnsi="方正粗圆简体" w:eastAsia="宋体" w:cs="Arial"/>
          <w:snapToGrid/>
          <w:color w:val="auto"/>
          <w:kern w:val="0"/>
          <w:sz w:val="24"/>
          <w:szCs w:val="20"/>
          <w:lang w:val="en-US" w:eastAsia="zh-CN" w:bidi="ar-SA"/>
        </w:rPr>
        <w:t>2、安装地点</w:t>
      </w:r>
      <w:r>
        <w:rPr>
          <w:rFonts w:ascii="方正粗圆简体" w:hAnsi="方正粗圆简体" w:eastAsia="宋体" w:cs="Arial"/>
          <w:snapToGrid/>
          <w:color w:val="auto"/>
          <w:kern w:val="0"/>
          <w:sz w:val="24"/>
          <w:szCs w:val="20"/>
          <w:lang w:val="en-US" w:eastAsia="zh-CN" w:bidi="ar-SA"/>
        </w:rPr>
        <w:t>:</w:t>
      </w:r>
    </w:p>
    <w:p>
      <w:pPr>
        <w:keepNext/>
        <w:widowControl w:val="0"/>
        <w:numPr>
          <w:ilvl w:val="0"/>
          <w:numId w:val="4"/>
        </w:numPr>
        <w:bidi w:val="0"/>
        <w:spacing w:line="360" w:lineRule="auto"/>
        <w:ind w:left="720" w:hanging="720"/>
        <w:jc w:val="both"/>
        <w:outlineLvl w:val="0"/>
        <w:rPr>
          <w:rFonts w:hint="default" w:ascii="Arial" w:hAnsi="Arial" w:eastAsia="新宋体" w:cs="Times New Roman"/>
          <w:b/>
          <w:bCs/>
          <w:kern w:val="2"/>
          <w:sz w:val="24"/>
          <w:szCs w:val="24"/>
          <w:lang w:val="en-US" w:eastAsia="zh-CN" w:bidi="ar-SA"/>
        </w:rPr>
      </w:pPr>
      <w:bookmarkStart w:id="212" w:name="_Toc18643"/>
      <w:bookmarkStart w:id="213" w:name="_Toc10691"/>
      <w:r>
        <w:rPr>
          <w:rFonts w:hint="eastAsia" w:ascii="Arial" w:hAnsi="Arial" w:eastAsia="新宋体" w:cs="Times New Roman"/>
          <w:b/>
          <w:bCs/>
          <w:kern w:val="2"/>
          <w:sz w:val="24"/>
          <w:szCs w:val="24"/>
          <w:lang w:val="en-US" w:eastAsia="zh-CN" w:bidi="ar-SA"/>
        </w:rPr>
        <w:t>设计要求及技术标准</w:t>
      </w:r>
      <w:bookmarkEnd w:id="212"/>
      <w:bookmarkEnd w:id="213"/>
    </w:p>
    <w:p>
      <w:pPr>
        <w:keepNext w:val="0"/>
        <w:keepLines w:val="0"/>
        <w:widowControl/>
        <w:suppressLineNumbers w:val="0"/>
        <w:kinsoku/>
        <w:autoSpaceDE/>
        <w:autoSpaceDN/>
        <w:adjustRightInd w:val="0"/>
        <w:snapToGrid/>
        <w:spacing w:before="120" w:after="120" w:line="360" w:lineRule="auto"/>
        <w:jc w:val="left"/>
        <w:textAlignment w:val="baseline"/>
        <w:rPr>
          <w:rFonts w:hint="eastAsia" w:ascii="Times New Roman" w:hAnsi="Times New Roman" w:eastAsia="宋体" w:cs="Times New Roman"/>
          <w:b/>
          <w:color w:val="000000"/>
          <w:kern w:val="2"/>
          <w:sz w:val="27"/>
          <w:szCs w:val="24"/>
          <w:lang w:val="en-GB" w:eastAsia="zh-CN" w:bidi="ar-SA"/>
        </w:rPr>
      </w:pPr>
      <w:r>
        <w:rPr>
          <w:rFonts w:hint="eastAsia" w:eastAsia="新宋体" w:cs="Times New Roman"/>
          <w:b/>
          <w:bCs/>
          <w:snapToGrid/>
          <w:kern w:val="2"/>
          <w:sz w:val="24"/>
          <w:szCs w:val="24"/>
          <w:lang w:val="en-US" w:eastAsia="zh-CN" w:bidi="ar-SA"/>
        </w:rPr>
        <w:t>五、</w:t>
      </w:r>
      <w:r>
        <w:rPr>
          <w:rFonts w:eastAsia="新宋体" w:cs="Times New Roman"/>
          <w:b/>
          <w:bCs/>
          <w:snapToGrid/>
          <w:kern w:val="2"/>
          <w:sz w:val="24"/>
          <w:szCs w:val="24"/>
          <w:lang w:val="en-US" w:eastAsia="zh-CN" w:bidi="ar-SA"/>
        </w:rPr>
        <w:t>安装责任以及设备保护责任：</w:t>
      </w:r>
      <w:r>
        <w:rPr>
          <w:rFonts w:eastAsia="新宋体" w:cs="Times New Roman"/>
          <w:b/>
          <w:bCs/>
          <w:snapToGrid/>
          <w:color w:val="FF0000"/>
          <w:kern w:val="2"/>
          <w:sz w:val="24"/>
          <w:szCs w:val="24"/>
          <w:lang w:val="en-US" w:eastAsia="zh-CN" w:bidi="ar-SA"/>
        </w:rPr>
        <w:t xml:space="preserve"> </w:t>
      </w:r>
    </w:p>
    <w:p>
      <w:pPr>
        <w:keepNext/>
        <w:widowControl w:val="0"/>
        <w:numPr>
          <w:ilvl w:val="0"/>
          <w:numId w:val="0"/>
        </w:numPr>
        <w:bidi w:val="0"/>
        <w:spacing w:line="360" w:lineRule="auto"/>
        <w:ind w:leftChars="0"/>
        <w:jc w:val="both"/>
        <w:outlineLvl w:val="0"/>
        <w:rPr>
          <w:rFonts w:ascii="Times New Roman" w:hAnsi="Times New Roman" w:eastAsia="宋体" w:cs="Times New Roman"/>
          <w:b/>
          <w:bCs/>
          <w:snapToGrid/>
          <w:kern w:val="2"/>
          <w:sz w:val="24"/>
          <w:szCs w:val="24"/>
          <w:lang w:val="en-GB" w:eastAsia="zh-CN" w:bidi="ar-SA"/>
        </w:rPr>
      </w:pPr>
      <w:bookmarkStart w:id="214" w:name="_Toc22771"/>
      <w:bookmarkStart w:id="215" w:name="_Toc22752"/>
      <w:r>
        <w:rPr>
          <w:rFonts w:hint="eastAsia" w:ascii="Arial" w:hAnsi="Arial" w:eastAsia="新宋体" w:cs="Times New Roman"/>
          <w:b/>
          <w:bCs/>
          <w:kern w:val="2"/>
          <w:sz w:val="24"/>
          <w:szCs w:val="24"/>
          <w:lang w:val="en-US" w:eastAsia="zh-CN" w:bidi="ar-SA"/>
        </w:rPr>
        <w:t>六、</w:t>
      </w:r>
      <w:r>
        <w:rPr>
          <w:rFonts w:hint="eastAsia" w:ascii="Arial" w:hAnsi="Arial" w:eastAsia="新宋体" w:cs="Times New Roman"/>
          <w:b/>
          <w:bCs/>
          <w:kern w:val="2"/>
          <w:sz w:val="24"/>
          <w:szCs w:val="24"/>
          <w:lang w:val="en-GB" w:eastAsia="zh-CN" w:bidi="ar-SA"/>
        </w:rPr>
        <w:t>设备清单明细表</w:t>
      </w:r>
      <w:bookmarkEnd w:id="214"/>
      <w:bookmarkEnd w:id="215"/>
    </w:p>
    <w:p>
      <w:pPr>
        <w:widowControl w:val="0"/>
        <w:kinsoku/>
        <w:autoSpaceDE/>
        <w:autoSpaceDN/>
        <w:bidi w:val="0"/>
        <w:adjustRightInd/>
        <w:snapToGrid/>
        <w:spacing w:line="360" w:lineRule="auto"/>
        <w:jc w:val="both"/>
        <w:textAlignment w:val="auto"/>
        <w:rPr>
          <w:rFonts w:ascii="Times New Roman" w:hAnsi="Times New Roman" w:eastAsia="宋体" w:cs="Times New Roman"/>
          <w:b/>
          <w:bCs/>
          <w:snapToGrid/>
          <w:kern w:val="2"/>
          <w:sz w:val="24"/>
          <w:szCs w:val="24"/>
          <w:lang w:val="en-GB" w:eastAsia="zh-CN" w:bidi="ar-SA"/>
        </w:rPr>
      </w:pPr>
      <w:r>
        <w:rPr>
          <w:rFonts w:hint="eastAsia" w:ascii="Times New Roman" w:hAnsi="Times New Roman" w:eastAsia="宋体" w:cs="Times New Roman"/>
          <w:b/>
          <w:bCs/>
          <w:snapToGrid/>
          <w:kern w:val="2"/>
          <w:sz w:val="24"/>
          <w:szCs w:val="24"/>
          <w:lang w:val="en-US" w:eastAsia="zh-CN" w:bidi="ar-SA"/>
        </w:rPr>
        <w:t>七</w:t>
      </w:r>
      <w:r>
        <w:rPr>
          <w:rFonts w:hint="default" w:ascii="Times New Roman" w:hAnsi="Times New Roman" w:eastAsia="宋体" w:cs="Times New Roman"/>
          <w:b/>
          <w:bCs/>
          <w:snapToGrid/>
          <w:kern w:val="2"/>
          <w:sz w:val="24"/>
          <w:szCs w:val="24"/>
          <w:lang w:val="en-US" w:eastAsia="zh-CN" w:bidi="ar-SA"/>
        </w:rPr>
        <w:t xml:space="preserve">、 </w:t>
      </w:r>
      <w:r>
        <w:rPr>
          <w:rFonts w:hint="eastAsia" w:ascii="Times New Roman" w:hAnsi="Times New Roman" w:eastAsia="宋体" w:cs="Times New Roman"/>
          <w:b/>
          <w:bCs/>
          <w:snapToGrid/>
          <w:kern w:val="2"/>
          <w:sz w:val="24"/>
          <w:szCs w:val="24"/>
          <w:lang w:val="en-US" w:eastAsia="zh-CN" w:bidi="ar-SA"/>
        </w:rPr>
        <w:t>随机备品备件清单</w:t>
      </w:r>
    </w:p>
    <w:p>
      <w:pPr>
        <w:widowControl w:val="0"/>
        <w:kinsoku/>
        <w:autoSpaceDE/>
        <w:autoSpaceDN/>
        <w:bidi w:val="0"/>
        <w:adjustRightInd/>
        <w:snapToGrid/>
        <w:spacing w:line="360" w:lineRule="auto"/>
        <w:jc w:val="both"/>
        <w:textAlignment w:val="auto"/>
        <w:rPr>
          <w:rFonts w:hint="eastAsia" w:ascii="Times New Roman" w:hAnsi="Times New Roman" w:eastAsia="宋体" w:cs="Times New Roman"/>
          <w:b/>
          <w:bCs/>
          <w:snapToGrid/>
          <w:kern w:val="2"/>
          <w:sz w:val="24"/>
          <w:szCs w:val="24"/>
          <w:lang w:val="en-US" w:eastAsia="zh-CN" w:bidi="ar-SA"/>
        </w:rPr>
      </w:pPr>
      <w:r>
        <w:rPr>
          <w:rFonts w:hint="eastAsia" w:ascii="Times New Roman" w:hAnsi="Times New Roman" w:eastAsia="宋体" w:cs="Times New Roman"/>
          <w:b/>
          <w:bCs/>
          <w:snapToGrid/>
          <w:kern w:val="2"/>
          <w:sz w:val="24"/>
          <w:szCs w:val="24"/>
          <w:lang w:val="en-US" w:eastAsia="zh-CN" w:bidi="ar-SA"/>
        </w:rPr>
        <w:t>八</w:t>
      </w:r>
      <w:r>
        <w:rPr>
          <w:rFonts w:hint="eastAsia" w:ascii="Times New Roman" w:hAnsi="Times New Roman" w:eastAsia="宋体" w:cs="Times New Roman"/>
          <w:b/>
          <w:bCs/>
          <w:snapToGrid/>
          <w:kern w:val="2"/>
          <w:sz w:val="24"/>
          <w:szCs w:val="24"/>
          <w:lang w:val="en-GB" w:eastAsia="zh-CN" w:bidi="ar-SA"/>
        </w:rPr>
        <w:t>、</w:t>
      </w:r>
      <w:r>
        <w:rPr>
          <w:rFonts w:hint="eastAsia" w:ascii="Times New Roman" w:hAnsi="Times New Roman" w:eastAsia="宋体" w:cs="Times New Roman"/>
          <w:b/>
          <w:bCs/>
          <w:snapToGrid/>
          <w:kern w:val="2"/>
          <w:sz w:val="24"/>
          <w:szCs w:val="24"/>
          <w:lang w:val="en-US" w:eastAsia="zh-CN" w:bidi="ar-SA"/>
        </w:rPr>
        <w:t>售后服务方案</w:t>
      </w:r>
    </w:p>
    <w:p>
      <w:pPr>
        <w:pStyle w:val="16"/>
      </w:pPr>
    </w:p>
    <w:p>
      <w:pPr>
        <w:pStyle w:val="17"/>
        <w:sectPr>
          <w:headerReference r:id="rId16" w:type="default"/>
          <w:footerReference r:id="rId17" w:type="default"/>
          <w:pgSz w:w="11905" w:h="16838"/>
          <w:pgMar w:top="1440" w:right="1803" w:bottom="1440" w:left="1803" w:header="0" w:footer="1134" w:gutter="0"/>
          <w:pgNumType w:fmt="decimal"/>
          <w:cols w:space="0" w:num="1"/>
          <w:rtlGutter w:val="0"/>
          <w:docGrid w:linePitch="0" w:charSpace="0"/>
        </w:sectPr>
      </w:pPr>
    </w:p>
    <w:p>
      <w:pPr>
        <w:pStyle w:val="17"/>
      </w:pPr>
    </w:p>
    <w:bookmarkEnd w:id="198"/>
    <w:p>
      <w:pPr>
        <w:spacing w:before="14" w:line="29" w:lineRule="exact"/>
        <w:textAlignment w:val="center"/>
      </w:pPr>
    </w:p>
    <w:p>
      <w:pPr>
        <w:spacing w:before="122" w:line="219" w:lineRule="auto"/>
        <w:jc w:val="center"/>
        <w:outlineLvl w:val="0"/>
        <w:rPr>
          <w:rFonts w:ascii="宋体" w:hAnsi="宋体" w:eastAsia="宋体" w:cs="宋体"/>
          <w:sz w:val="36"/>
          <w:szCs w:val="36"/>
        </w:rPr>
      </w:pPr>
      <w:bookmarkStart w:id="216" w:name="_Toc11371"/>
      <w:r>
        <w:rPr>
          <w:rFonts w:ascii="宋体" w:hAnsi="宋体" w:eastAsia="宋体" w:cs="宋体"/>
          <w:spacing w:val="-2"/>
          <w:sz w:val="36"/>
          <w:szCs w:val="36"/>
          <w14:textOutline w14:w="7282" w14:cap="sq" w14:cmpd="sng">
            <w14:solidFill>
              <w14:srgbClr w14:val="000000"/>
            </w14:solidFill>
            <w14:prstDash w14:val="solid"/>
            <w14:bevel/>
          </w14:textOutline>
        </w:rPr>
        <w:t>第</w:t>
      </w:r>
      <w:r>
        <w:rPr>
          <w:rFonts w:hint="eastAsia" w:ascii="宋体" w:hAnsi="宋体" w:eastAsia="宋体" w:cs="宋体"/>
          <w:spacing w:val="-2"/>
          <w:sz w:val="36"/>
          <w:szCs w:val="36"/>
          <w:lang w:val="en-US" w:eastAsia="zh-CN"/>
          <w14:textOutline w14:w="7282" w14:cap="sq" w14:cmpd="sng">
            <w14:solidFill>
              <w14:srgbClr w14:val="000000"/>
            </w14:solidFill>
            <w14:prstDash w14:val="solid"/>
            <w14:bevel/>
          </w14:textOutline>
        </w:rPr>
        <w:t>六</w:t>
      </w:r>
      <w:r>
        <w:rPr>
          <w:rFonts w:ascii="宋体" w:hAnsi="宋体" w:eastAsia="宋体" w:cs="宋体"/>
          <w:spacing w:val="-2"/>
          <w:sz w:val="36"/>
          <w:szCs w:val="36"/>
          <w14:textOutline w14:w="7282" w14:cap="sq" w14:cmpd="sng">
            <w14:solidFill>
              <w14:srgbClr w14:val="000000"/>
            </w14:solidFill>
            <w14:prstDash w14:val="solid"/>
            <w14:bevel/>
          </w14:textOutline>
        </w:rPr>
        <w:t>章</w:t>
      </w:r>
      <w:r>
        <w:rPr>
          <w:rFonts w:ascii="宋体" w:hAnsi="宋体" w:eastAsia="宋体" w:cs="宋体"/>
          <w:spacing w:val="-2"/>
          <w:sz w:val="36"/>
          <w:szCs w:val="36"/>
        </w:rPr>
        <w:t xml:space="preserve"> </w:t>
      </w:r>
      <w:r>
        <w:rPr>
          <w:rFonts w:ascii="宋体" w:hAnsi="宋体" w:eastAsia="宋体" w:cs="宋体"/>
          <w:spacing w:val="-1"/>
          <w:sz w:val="36"/>
          <w:szCs w:val="36"/>
          <w14:textOutline w14:w="7282" w14:cap="sq" w14:cmpd="sng">
            <w14:solidFill>
              <w14:srgbClr w14:val="000000"/>
            </w14:solidFill>
            <w14:prstDash w14:val="solid"/>
            <w14:bevel/>
          </w14:textOutline>
        </w:rPr>
        <w:t>附件</w:t>
      </w:r>
      <w:bookmarkEnd w:id="216"/>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360" w:lineRule="auto"/>
        <w:ind w:left="27"/>
        <w:outlineLvl w:val="1"/>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1：报价一览表</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2：投标函格式</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附件 3：法人授权函</w:t>
      </w:r>
      <w:r>
        <w:rPr>
          <w:rFonts w:ascii="宋体" w:hAnsi="宋体" w:eastAsia="宋体" w:cs="宋体"/>
          <w:spacing w:val="1"/>
          <w:sz w:val="24"/>
          <w:szCs w:val="24"/>
        </w:rPr>
        <w:t>格</w:t>
      </w:r>
      <w:r>
        <w:rPr>
          <w:rFonts w:ascii="宋体" w:hAnsi="宋体" w:eastAsia="宋体" w:cs="宋体"/>
          <w:sz w:val="24"/>
          <w:szCs w:val="24"/>
        </w:rPr>
        <w:t>式</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4"/>
          <w:sz w:val="24"/>
          <w:szCs w:val="24"/>
        </w:rPr>
        <w:t>附</w:t>
      </w:r>
      <w:r>
        <w:rPr>
          <w:rFonts w:ascii="宋体" w:hAnsi="宋体" w:eastAsia="宋体" w:cs="宋体"/>
          <w:spacing w:val="-3"/>
          <w:sz w:val="24"/>
          <w:szCs w:val="24"/>
        </w:rPr>
        <w:t>件</w:t>
      </w:r>
      <w:r>
        <w:rPr>
          <w:rFonts w:ascii="宋体" w:hAnsi="宋体" w:eastAsia="宋体" w:cs="宋体"/>
          <w:spacing w:val="-2"/>
          <w:sz w:val="24"/>
          <w:szCs w:val="24"/>
        </w:rPr>
        <w:t xml:space="preserve"> 4：承诺函</w:t>
      </w:r>
    </w:p>
    <w:p>
      <w:pPr>
        <w:spacing w:line="360" w:lineRule="auto"/>
        <w:rPr>
          <w:rFonts w:ascii="Arial"/>
          <w:sz w:val="24"/>
          <w:szCs w:val="24"/>
        </w:rPr>
      </w:pPr>
    </w:p>
    <w:p>
      <w:pPr>
        <w:spacing w:before="75" w:line="360" w:lineRule="auto"/>
        <w:ind w:left="27"/>
        <w:rPr>
          <w:rFonts w:hint="default" w:ascii="宋体" w:hAnsi="宋体" w:eastAsia="宋体" w:cs="宋体"/>
          <w:sz w:val="24"/>
          <w:szCs w:val="24"/>
          <w:lang w:val="en-US" w:eastAsia="zh-CN"/>
        </w:rPr>
      </w:pPr>
      <w:r>
        <w:rPr>
          <w:rFonts w:ascii="宋体" w:hAnsi="宋体" w:eastAsia="宋体" w:cs="宋体"/>
          <w:spacing w:val="1"/>
          <w:sz w:val="24"/>
          <w:szCs w:val="24"/>
        </w:rPr>
        <w:t>附件 5：</w:t>
      </w:r>
      <w:r>
        <w:rPr>
          <w:rFonts w:hint="eastAsia" w:ascii="宋体" w:hAnsi="宋体" w:eastAsia="宋体" w:cs="宋体"/>
          <w:spacing w:val="1"/>
          <w:sz w:val="24"/>
          <w:szCs w:val="24"/>
          <w:lang w:val="en-US" w:eastAsia="zh-CN"/>
        </w:rPr>
        <w:t>技术方案</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：公司业绩一览表</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7</w:t>
      </w:r>
      <w:r>
        <w:rPr>
          <w:rFonts w:ascii="宋体" w:hAnsi="宋体" w:eastAsia="宋体" w:cs="宋体"/>
          <w:spacing w:val="1"/>
          <w:sz w:val="24"/>
          <w:szCs w:val="24"/>
        </w:rPr>
        <w:t>：售后服务承诺</w:t>
      </w:r>
    </w:p>
    <w:p>
      <w:pPr>
        <w:spacing w:line="360" w:lineRule="auto"/>
        <w:rPr>
          <w:rFonts w:ascii="Arial"/>
          <w:sz w:val="24"/>
          <w:szCs w:val="24"/>
        </w:rPr>
      </w:pPr>
    </w:p>
    <w:p>
      <w:pPr>
        <w:spacing w:before="76" w:line="360" w:lineRule="auto"/>
        <w:ind w:left="27"/>
        <w:rPr>
          <w:rFonts w:ascii="宋体" w:hAnsi="宋体" w:eastAsia="宋体" w:cs="宋体"/>
          <w:sz w:val="23"/>
          <w:szCs w:val="23"/>
        </w:rPr>
      </w:pPr>
      <w:r>
        <w:rPr>
          <w:rFonts w:ascii="宋体" w:hAnsi="宋体" w:eastAsia="宋体" w:cs="宋体"/>
          <w:spacing w:val="6"/>
          <w:sz w:val="24"/>
          <w:szCs w:val="24"/>
        </w:rPr>
        <w:t xml:space="preserve">附件 </w:t>
      </w:r>
      <w:r>
        <w:rPr>
          <w:rFonts w:hint="eastAsia" w:ascii="宋体" w:hAnsi="宋体" w:eastAsia="宋体" w:cs="宋体"/>
          <w:spacing w:val="6"/>
          <w:sz w:val="24"/>
          <w:szCs w:val="24"/>
          <w:lang w:val="en-US" w:eastAsia="zh-CN"/>
        </w:rPr>
        <w:t>8</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pPr>
        <w:sectPr>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pPr>
    </w:p>
    <w:p>
      <w:pPr>
        <w:spacing w:before="50" w:line="360" w:lineRule="auto"/>
        <w:ind w:left="36"/>
        <w:outlineLvl w:val="1"/>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1：报价一览表</w:t>
      </w:r>
    </w:p>
    <w:p>
      <w:pPr>
        <w:spacing w:before="101" w:line="360" w:lineRule="auto"/>
        <w:jc w:val="center"/>
        <w:rPr>
          <w:rFonts w:ascii="宋体" w:hAnsi="宋体" w:eastAsia="宋体" w:cs="宋体"/>
          <w:sz w:val="30"/>
          <w:szCs w:val="30"/>
        </w:rPr>
      </w:pPr>
      <w:r>
        <w:rPr>
          <w:rFonts w:ascii="宋体" w:hAnsi="宋体" w:eastAsia="宋体" w:cs="宋体"/>
          <w:spacing w:val="14"/>
          <w:sz w:val="30"/>
          <w:szCs w:val="30"/>
          <w14:textOutline w14:w="5793" w14:cap="sq" w14:cmpd="sng">
            <w14:solidFill>
              <w14:srgbClr w14:val="000000"/>
            </w14:solidFill>
            <w14:prstDash w14:val="solid"/>
            <w14:bevel/>
          </w14:textOutline>
        </w:rPr>
        <w:t>报价一览</w:t>
      </w:r>
      <w:r>
        <w:rPr>
          <w:rFonts w:ascii="宋体" w:hAnsi="宋体" w:eastAsia="宋体" w:cs="宋体"/>
          <w:spacing w:val="13"/>
          <w:sz w:val="30"/>
          <w:szCs w:val="30"/>
          <w14:textOutline w14:w="5793" w14:cap="sq" w14:cmpd="sng">
            <w14:solidFill>
              <w14:srgbClr w14:val="000000"/>
            </w14:solidFill>
            <w14:prstDash w14:val="solid"/>
            <w14:bevel/>
          </w14:textOutline>
        </w:rPr>
        <w:t>表</w:t>
      </w:r>
    </w:p>
    <w:p>
      <w:pPr>
        <w:spacing w:line="199" w:lineRule="exact"/>
      </w:pPr>
    </w:p>
    <w:tbl>
      <w:tblPr>
        <w:tblStyle w:val="22"/>
        <w:tblW w:w="515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1"/>
        <w:gridCol w:w="2984"/>
        <w:gridCol w:w="2219"/>
        <w:gridCol w:w="1700"/>
        <w:gridCol w:w="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462"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1743" w:type="pct"/>
            <w:vAlign w:val="center"/>
          </w:tcPr>
          <w:p>
            <w:pPr>
              <w:spacing w:before="297" w:line="360" w:lineRule="auto"/>
              <w:jc w:val="center"/>
              <w:rPr>
                <w:rFonts w:hint="eastAsia" w:ascii="宋体" w:hAnsi="宋体" w:eastAsia="宋体" w:cs="宋体"/>
                <w:sz w:val="24"/>
                <w:szCs w:val="24"/>
                <w:lang w:eastAsia="zh-CN"/>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1296"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12"/>
                <w:sz w:val="24"/>
                <w:szCs w:val="24"/>
              </w:rPr>
              <w:t>工</w:t>
            </w:r>
            <w:r>
              <w:rPr>
                <w:rFonts w:ascii="宋体" w:hAnsi="宋体" w:eastAsia="宋体" w:cs="宋体"/>
                <w:spacing w:val="-7"/>
                <w:sz w:val="24"/>
                <w:szCs w:val="24"/>
              </w:rPr>
              <w:t>期 ( 日历天)</w:t>
            </w:r>
          </w:p>
        </w:tc>
        <w:tc>
          <w:tcPr>
            <w:tcW w:w="992" w:type="pct"/>
            <w:vAlign w:val="center"/>
          </w:tcPr>
          <w:p>
            <w:pPr>
              <w:spacing w:before="62" w:line="360" w:lineRule="auto"/>
              <w:jc w:val="center"/>
              <w:rPr>
                <w:rFonts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7"/>
                <w:sz w:val="24"/>
                <w:szCs w:val="24"/>
              </w:rPr>
              <w:t>标总报价</w:t>
            </w:r>
          </w:p>
          <w:p>
            <w:pPr>
              <w:spacing w:before="184" w:line="360" w:lineRule="auto"/>
              <w:jc w:val="center"/>
              <w:rPr>
                <w:rFonts w:ascii="宋体" w:hAnsi="宋体" w:eastAsia="宋体" w:cs="宋体"/>
                <w:sz w:val="24"/>
                <w:szCs w:val="24"/>
              </w:rPr>
            </w:pPr>
            <w:r>
              <w:rPr>
                <w:rFonts w:ascii="宋体" w:hAnsi="宋体" w:eastAsia="宋体" w:cs="宋体"/>
                <w:spacing w:val="38"/>
                <w:sz w:val="24"/>
                <w:szCs w:val="24"/>
              </w:rPr>
              <w:t>(元)</w:t>
            </w:r>
          </w:p>
        </w:tc>
        <w:tc>
          <w:tcPr>
            <w:tcW w:w="505"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62" w:type="pct"/>
            <w:vAlign w:val="center"/>
          </w:tcPr>
          <w:p>
            <w:pPr>
              <w:spacing w:before="315" w:line="360" w:lineRule="auto"/>
              <w:jc w:val="center"/>
              <w:rPr>
                <w:rFonts w:ascii="宋体" w:hAnsi="宋体" w:eastAsia="宋体" w:cs="宋体"/>
                <w:sz w:val="24"/>
                <w:szCs w:val="24"/>
              </w:rPr>
            </w:pPr>
            <w:r>
              <w:rPr>
                <w:rFonts w:ascii="宋体" w:hAnsi="宋体" w:eastAsia="宋体" w:cs="宋体"/>
                <w:sz w:val="24"/>
                <w:szCs w:val="24"/>
              </w:rPr>
              <w:t>1</w:t>
            </w:r>
          </w:p>
        </w:tc>
        <w:tc>
          <w:tcPr>
            <w:tcW w:w="1743" w:type="pct"/>
            <w:vAlign w:val="center"/>
          </w:tcPr>
          <w:p>
            <w:pPr>
              <w:spacing w:line="360" w:lineRule="auto"/>
              <w:jc w:val="center"/>
              <w:rPr>
                <w:rFonts w:ascii="Arial"/>
                <w:sz w:val="24"/>
                <w:szCs w:val="24"/>
              </w:rPr>
            </w:pPr>
          </w:p>
        </w:tc>
        <w:tc>
          <w:tcPr>
            <w:tcW w:w="1296" w:type="pct"/>
            <w:vAlign w:val="center"/>
          </w:tcPr>
          <w:p>
            <w:pPr>
              <w:spacing w:line="360" w:lineRule="auto"/>
              <w:jc w:val="center"/>
              <w:rPr>
                <w:rFonts w:ascii="Arial"/>
                <w:sz w:val="24"/>
                <w:szCs w:val="24"/>
              </w:rPr>
            </w:pPr>
          </w:p>
        </w:tc>
        <w:tc>
          <w:tcPr>
            <w:tcW w:w="992" w:type="pct"/>
            <w:vAlign w:val="center"/>
          </w:tcPr>
          <w:p>
            <w:pPr>
              <w:spacing w:line="360" w:lineRule="auto"/>
              <w:jc w:val="center"/>
              <w:rPr>
                <w:rFonts w:ascii="Arial"/>
                <w:sz w:val="24"/>
                <w:szCs w:val="24"/>
              </w:rPr>
            </w:pPr>
          </w:p>
        </w:tc>
        <w:tc>
          <w:tcPr>
            <w:tcW w:w="50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62" w:type="pct"/>
            <w:vAlign w:val="center"/>
          </w:tcPr>
          <w:p>
            <w:pPr>
              <w:spacing w:before="315"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43" w:type="pct"/>
            <w:vAlign w:val="center"/>
          </w:tcPr>
          <w:p>
            <w:pPr>
              <w:spacing w:line="360" w:lineRule="auto"/>
              <w:jc w:val="center"/>
              <w:rPr>
                <w:rFonts w:ascii="Arial"/>
                <w:sz w:val="24"/>
                <w:szCs w:val="24"/>
              </w:rPr>
            </w:pPr>
          </w:p>
        </w:tc>
        <w:tc>
          <w:tcPr>
            <w:tcW w:w="1296" w:type="pct"/>
            <w:vAlign w:val="center"/>
          </w:tcPr>
          <w:p>
            <w:pPr>
              <w:spacing w:line="360" w:lineRule="auto"/>
              <w:jc w:val="center"/>
              <w:rPr>
                <w:rFonts w:ascii="Arial"/>
                <w:sz w:val="24"/>
                <w:szCs w:val="24"/>
              </w:rPr>
            </w:pPr>
          </w:p>
        </w:tc>
        <w:tc>
          <w:tcPr>
            <w:tcW w:w="992" w:type="pct"/>
            <w:vAlign w:val="center"/>
          </w:tcPr>
          <w:p>
            <w:pPr>
              <w:spacing w:line="360" w:lineRule="auto"/>
              <w:jc w:val="center"/>
              <w:rPr>
                <w:rFonts w:ascii="Arial"/>
                <w:sz w:val="24"/>
                <w:szCs w:val="24"/>
              </w:rPr>
            </w:pPr>
          </w:p>
        </w:tc>
        <w:tc>
          <w:tcPr>
            <w:tcW w:w="50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4494" w:type="pct"/>
            <w:gridSpan w:val="4"/>
            <w:vAlign w:val="center"/>
          </w:tcPr>
          <w:p>
            <w:pPr>
              <w:spacing w:before="301" w:line="360" w:lineRule="auto"/>
              <w:ind w:left="118"/>
              <w:jc w:val="both"/>
              <w:rPr>
                <w:rFonts w:ascii="宋体" w:hAnsi="宋体" w:eastAsia="宋体" w:cs="宋体"/>
                <w:sz w:val="24"/>
                <w:szCs w:val="24"/>
              </w:rPr>
            </w:pPr>
            <w:r>
              <w:rPr>
                <w:rFonts w:ascii="宋体" w:hAnsi="宋体" w:eastAsia="宋体" w:cs="宋体"/>
                <w:spacing w:val="-2"/>
                <w:sz w:val="24"/>
                <w:szCs w:val="24"/>
              </w:rPr>
              <w:t xml:space="preserve">投标总报价：  </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 xml:space="preserve">(大写) </w:t>
            </w:r>
            <w:r>
              <w:rPr>
                <w:rFonts w:ascii="宋体" w:hAnsi="宋体" w:eastAsia="宋体" w:cs="宋体"/>
                <w:sz w:val="24"/>
                <w:szCs w:val="24"/>
              </w:rPr>
              <w:t>：</w:t>
            </w:r>
          </w:p>
          <w:p>
            <w:pPr>
              <w:pStyle w:val="16"/>
              <w:ind w:left="0"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发票：</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增值税专票/</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增值税普票</w:t>
            </w:r>
          </w:p>
          <w:p>
            <w:pPr>
              <w:pStyle w:val="16"/>
              <w:ind w:left="0" w:leftChars="0" w:firstLine="240" w:firstLineChars="100"/>
              <w:rPr>
                <w:rFonts w:hint="default" w:eastAsia="宋体"/>
                <w:lang w:val="en-US" w:eastAsia="zh-CN"/>
              </w:rPr>
            </w:pPr>
            <w:r>
              <w:rPr>
                <w:rFonts w:hint="eastAsia" w:ascii="宋体" w:hAnsi="宋体" w:eastAsia="宋体" w:cs="宋体"/>
                <w:sz w:val="24"/>
                <w:szCs w:val="24"/>
                <w:lang w:val="en-US" w:eastAsia="zh-CN"/>
              </w:rPr>
              <w:t xml:space="preserve">税率：       </w:t>
            </w:r>
          </w:p>
        </w:tc>
        <w:tc>
          <w:tcPr>
            <w:tcW w:w="505" w:type="pct"/>
            <w:vAlign w:val="center"/>
          </w:tcPr>
          <w:p>
            <w:pPr>
              <w:spacing w:line="360" w:lineRule="auto"/>
              <w:jc w:val="center"/>
              <w:rPr>
                <w:rFonts w:ascii="Arial"/>
                <w:sz w:val="24"/>
                <w:szCs w:val="24"/>
              </w:rPr>
            </w:pPr>
          </w:p>
        </w:tc>
      </w:tr>
    </w:tbl>
    <w:p>
      <w:pPr>
        <w:spacing w:line="424" w:lineRule="auto"/>
        <w:rPr>
          <w:rFonts w:ascii="Arial"/>
          <w:sz w:val="21"/>
        </w:rPr>
      </w:pPr>
    </w:p>
    <w:p>
      <w:pPr>
        <w:spacing w:before="75" w:line="360" w:lineRule="auto"/>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5" w:line="360" w:lineRule="auto"/>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注：本次报价包含与本项目的一切相关费用</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1"/>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18"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pPr>
    </w:p>
    <w:p>
      <w:pPr>
        <w:spacing w:before="50" w:line="360" w:lineRule="auto"/>
        <w:ind w:left="36"/>
        <w:jc w:val="both"/>
        <w:rPr>
          <w:rFonts w:ascii="宋体" w:hAnsi="宋体" w:eastAsia="宋体" w:cs="宋体"/>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2：投标函</w:t>
      </w:r>
    </w:p>
    <w:p>
      <w:pPr>
        <w:spacing w:before="246" w:line="360" w:lineRule="auto"/>
        <w:jc w:val="center"/>
        <w:rPr>
          <w:rFonts w:ascii="宋体" w:hAnsi="宋体" w:eastAsia="宋体" w:cs="宋体"/>
          <w:spacing w:val="11"/>
          <w:sz w:val="24"/>
          <w:szCs w:val="24"/>
        </w:rPr>
      </w:pPr>
      <w:r>
        <w:rPr>
          <w:rFonts w:ascii="宋体" w:hAnsi="宋体" w:eastAsia="宋体" w:cs="宋体"/>
          <w:spacing w:val="9"/>
          <w:sz w:val="30"/>
          <w:szCs w:val="30"/>
          <w14:textOutline w14:w="5793" w14:cap="sq" w14:cmpd="sng">
            <w14:solidFill>
              <w14:srgbClr w14:val="000000"/>
            </w14:solidFill>
            <w14:prstDash w14:val="solid"/>
            <w14:bevel/>
          </w14:textOutline>
        </w:rPr>
        <w:t>投</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标</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11"/>
          <w:sz w:val="24"/>
          <w:szCs w:val="24"/>
        </w:rPr>
        <w:t>致</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ascii="宋体" w:hAnsi="宋体" w:eastAsia="宋体" w:cs="宋体"/>
          <w:sz w:val="24"/>
          <w:szCs w:val="24"/>
        </w:rPr>
      </w:pPr>
      <w:r>
        <w:rPr>
          <w:rFonts w:ascii="宋体" w:hAnsi="宋体" w:eastAsia="宋体" w:cs="宋体"/>
          <w:spacing w:val="15"/>
          <w:sz w:val="24"/>
          <w:szCs w:val="24"/>
        </w:rPr>
        <w:t>我单位经认真研究上述磋商文件，决定参加本次投标。我方在磋商会议结束后向</w:t>
      </w:r>
      <w:r>
        <w:rPr>
          <w:rFonts w:hint="eastAsia" w:ascii="宋体" w:hAnsi="宋体" w:eastAsia="宋体" w:cs="宋体"/>
          <w:spacing w:val="15"/>
          <w:sz w:val="24"/>
          <w:szCs w:val="24"/>
          <w:lang w:eastAsia="zh-CN"/>
        </w:rPr>
        <w:t>招标方</w:t>
      </w:r>
      <w:r>
        <w:rPr>
          <w:rFonts w:ascii="宋体" w:hAnsi="宋体" w:eastAsia="宋体" w:cs="宋体"/>
          <w:spacing w:val="13"/>
          <w:sz w:val="24"/>
          <w:szCs w:val="24"/>
        </w:rPr>
        <w:t>提交纸质版磋商响应文件一份，并保证其真实性。我方愿承担该项目的实施和保修任</w:t>
      </w:r>
      <w:r>
        <w:rPr>
          <w:rFonts w:ascii="宋体" w:hAnsi="宋体" w:eastAsia="宋体" w:cs="宋体"/>
          <w:spacing w:val="18"/>
          <w:sz w:val="24"/>
          <w:szCs w:val="24"/>
        </w:rPr>
        <w:t>务</w:t>
      </w:r>
      <w:r>
        <w:rPr>
          <w:rFonts w:ascii="宋体" w:hAnsi="宋体" w:eastAsia="宋体" w:cs="宋体"/>
          <w:spacing w:val="16"/>
          <w:sz w:val="24"/>
          <w:szCs w:val="24"/>
        </w:rPr>
        <w:t>，履行磋商文件中对成交单位的要求和应承担的责任和义务。同时我方郑重做出如下声</w:t>
      </w:r>
      <w:r>
        <w:rPr>
          <w:rFonts w:ascii="宋体" w:hAnsi="宋体" w:eastAsia="宋体" w:cs="宋体"/>
          <w:spacing w:val="-1"/>
          <w:sz w:val="24"/>
          <w:szCs w:val="24"/>
        </w:rPr>
        <w:t>明：</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1、我</w:t>
      </w:r>
      <w:r>
        <w:rPr>
          <w:rFonts w:ascii="宋体" w:hAnsi="宋体" w:eastAsia="宋体" w:cs="宋体"/>
          <w:spacing w:val="11"/>
          <w:position w:val="1"/>
          <w:sz w:val="24"/>
          <w:szCs w:val="24"/>
        </w:rPr>
        <w:t>方</w:t>
      </w:r>
      <w:r>
        <w:rPr>
          <w:rFonts w:ascii="宋体" w:hAnsi="宋体" w:eastAsia="宋体" w:cs="宋体"/>
          <w:spacing w:val="8"/>
          <w:position w:val="1"/>
          <w:sz w:val="24"/>
          <w:szCs w:val="24"/>
        </w:rPr>
        <w:t>完全接受磋商文件中的内容，并将按磋商文件的规定履行责任、义务。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68" w:firstLineChars="200"/>
        <w:textAlignment w:val="baseline"/>
        <w:rPr>
          <w:rFonts w:hint="eastAsia" w:ascii="宋体" w:hAnsi="宋体" w:eastAsia="宋体" w:cs="宋体"/>
          <w:sz w:val="24"/>
          <w:szCs w:val="24"/>
          <w:lang w:val="en-US" w:eastAsia="zh-CN"/>
        </w:rPr>
      </w:pPr>
      <w:r>
        <w:rPr>
          <w:rFonts w:ascii="宋体" w:hAnsi="宋体" w:eastAsia="宋体" w:cs="宋体"/>
          <w:spacing w:val="22"/>
          <w:position w:val="1"/>
          <w:sz w:val="24"/>
          <w:szCs w:val="24"/>
        </w:rPr>
        <w:t>2、</w:t>
      </w:r>
      <w:r>
        <w:rPr>
          <w:rFonts w:ascii="宋体" w:hAnsi="宋体" w:eastAsia="宋体" w:cs="宋体"/>
          <w:spacing w:val="11"/>
          <w:position w:val="1"/>
          <w:sz w:val="24"/>
          <w:szCs w:val="24"/>
        </w:rPr>
        <w:t>我方已详细审查全部磋商文件，包括修改文件、参考资料及有关附件，无其他不明</w:t>
      </w:r>
      <w:r>
        <w:rPr>
          <w:rFonts w:hint="eastAsia" w:eastAsia="宋体"/>
          <w:sz w:val="24"/>
          <w:szCs w:val="24"/>
          <w:lang w:val="en-US" w:eastAsia="zh-CN"/>
        </w:rPr>
        <w:t>事项。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z w:val="24"/>
          <w:szCs w:val="24"/>
        </w:rPr>
      </w:pPr>
      <w:r>
        <w:rPr>
          <w:rFonts w:ascii="宋体" w:hAnsi="宋体" w:eastAsia="宋体" w:cs="宋体"/>
          <w:spacing w:val="9"/>
          <w:position w:val="1"/>
          <w:sz w:val="24"/>
          <w:szCs w:val="24"/>
        </w:rPr>
        <w:t>3、我方同意提供贵方可能要求的与投标有关的任何证据或资料</w:t>
      </w:r>
      <w:r>
        <w:rPr>
          <w:rFonts w:ascii="宋体" w:hAnsi="宋体" w:eastAsia="宋体" w:cs="宋体"/>
          <w:spacing w:val="8"/>
          <w:position w:val="1"/>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52" w:firstLineChars="200"/>
        <w:textAlignment w:val="baseline"/>
        <w:rPr>
          <w:rFonts w:ascii="宋体" w:hAnsi="宋体" w:eastAsia="宋体" w:cs="宋体"/>
          <w:sz w:val="24"/>
          <w:szCs w:val="24"/>
        </w:rPr>
      </w:pPr>
      <w:r>
        <w:rPr>
          <w:rFonts w:ascii="宋体" w:hAnsi="宋体" w:eastAsia="宋体" w:cs="宋体"/>
          <w:spacing w:val="18"/>
          <w:position w:val="1"/>
          <w:sz w:val="24"/>
          <w:szCs w:val="24"/>
        </w:rPr>
        <w:t>4</w:t>
      </w:r>
      <w:r>
        <w:rPr>
          <w:rFonts w:ascii="宋体" w:hAnsi="宋体" w:eastAsia="宋体" w:cs="宋体"/>
          <w:spacing w:val="13"/>
          <w:position w:val="1"/>
          <w:sz w:val="24"/>
          <w:szCs w:val="24"/>
        </w:rPr>
        <w:t>、</w:t>
      </w:r>
      <w:r>
        <w:rPr>
          <w:rFonts w:ascii="宋体" w:hAnsi="宋体" w:eastAsia="宋体" w:cs="宋体"/>
          <w:spacing w:val="9"/>
          <w:position w:val="1"/>
          <w:sz w:val="24"/>
          <w:szCs w:val="24"/>
        </w:rPr>
        <w:t>如果我方成交，我方将按《成交通知书》要求签订、履行合同，承担责任义务。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24" w:firstLineChars="200"/>
        <w:textAlignment w:val="baseline"/>
        <w:rPr>
          <w:rFonts w:ascii="宋体" w:hAnsi="宋体" w:eastAsia="宋体" w:cs="宋体"/>
          <w:sz w:val="24"/>
          <w:szCs w:val="24"/>
        </w:rPr>
      </w:pPr>
      <w:r>
        <w:rPr>
          <w:rFonts w:ascii="宋体" w:hAnsi="宋体" w:eastAsia="宋体" w:cs="宋体"/>
          <w:spacing w:val="11"/>
          <w:sz w:val="24"/>
          <w:szCs w:val="24"/>
        </w:rPr>
        <w:t>5、我方同意所递交的磋商响应文件在 90 天的磋商有效期内有效，在此期间我方将受</w:t>
      </w:r>
      <w:r>
        <w:rPr>
          <w:rFonts w:ascii="宋体" w:hAnsi="宋体" w:eastAsia="宋体" w:cs="宋体"/>
          <w:spacing w:val="9"/>
          <w:sz w:val="24"/>
          <w:szCs w:val="24"/>
        </w:rPr>
        <w:t>此</w:t>
      </w:r>
      <w:r>
        <w:rPr>
          <w:rFonts w:ascii="宋体" w:hAnsi="宋体" w:eastAsia="宋体" w:cs="宋体"/>
          <w:spacing w:val="2"/>
          <w:sz w:val="24"/>
          <w:szCs w:val="24"/>
        </w:rPr>
        <w:t>约</w:t>
      </w:r>
      <w:r>
        <w:rPr>
          <w:rFonts w:ascii="宋体" w:hAnsi="宋体" w:eastAsia="宋体" w:cs="宋体"/>
          <w:spacing w:val="1"/>
          <w:sz w:val="24"/>
          <w:szCs w:val="24"/>
        </w:rPr>
        <w:t>束。</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pacing w:val="9"/>
          <w:position w:val="17"/>
          <w:sz w:val="24"/>
          <w:szCs w:val="24"/>
        </w:rPr>
      </w:pPr>
      <w:r>
        <w:rPr>
          <w:rFonts w:ascii="宋体" w:hAnsi="宋体" w:eastAsia="宋体" w:cs="宋体"/>
          <w:spacing w:val="9"/>
          <w:position w:val="17"/>
          <w:sz w:val="24"/>
          <w:szCs w:val="24"/>
        </w:rPr>
        <w:t>6、与投标有关的一切资金往来请使用以下帐户：</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开户行：</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户  名：</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账  号：</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outlineLvl w:val="1"/>
        <w:rPr>
          <w:rFonts w:ascii="宋体" w:hAnsi="宋体" w:eastAsia="宋体" w:cs="宋体"/>
          <w:spacing w:val="9"/>
          <w:position w:val="17"/>
          <w:sz w:val="24"/>
          <w:szCs w:val="24"/>
        </w:rPr>
      </w:pPr>
      <w:r>
        <w:rPr>
          <w:rFonts w:hint="eastAsia" w:ascii="宋体" w:hAnsi="宋体" w:eastAsia="宋体" w:cs="宋体"/>
          <w:spacing w:val="9"/>
          <w:position w:val="17"/>
          <w:sz w:val="24"/>
          <w:szCs w:val="24"/>
          <w:lang w:val="en-US" w:eastAsia="zh-CN"/>
        </w:rPr>
        <w:t>7</w:t>
      </w:r>
      <w:r>
        <w:rPr>
          <w:rFonts w:ascii="宋体" w:hAnsi="宋体" w:eastAsia="宋体" w:cs="宋体"/>
          <w:spacing w:val="9"/>
          <w:position w:val="17"/>
          <w:sz w:val="24"/>
          <w:szCs w:val="24"/>
        </w:rPr>
        <w:t>、与投标有关的一切正式信函请使用以下地址：</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地    址：</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邮    编：</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ascii="宋体" w:hAnsi="宋体" w:eastAsia="宋体" w:cs="宋体"/>
          <w:spacing w:val="9"/>
          <w:position w:val="17"/>
          <w:sz w:val="24"/>
          <w:szCs w:val="24"/>
        </w:rPr>
        <w:t>电    话：</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单位公章：</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法定代表人或授权代表人签字：</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磋商日期：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sectPr>
          <w:footerReference r:id="rId19"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rPr>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3：法人授权函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z w:val="30"/>
          <w:szCs w:val="30"/>
        </w:rPr>
      </w:pPr>
      <w:r>
        <w:rPr>
          <w:rFonts w:ascii="宋体" w:hAnsi="宋体" w:eastAsia="宋体" w:cs="宋体"/>
          <w:spacing w:val="8"/>
          <w:sz w:val="30"/>
          <w:szCs w:val="30"/>
          <w14:textOutline w14:w="5793" w14:cap="sq" w14:cmpd="sng">
            <w14:solidFill>
              <w14:srgbClr w14:val="000000"/>
            </w14:solidFill>
            <w14:prstDash w14:val="solid"/>
            <w14:bevel/>
          </w14:textOutline>
        </w:rPr>
        <w:t>法人授权</w:t>
      </w:r>
      <w:r>
        <w:rPr>
          <w:rFonts w:ascii="宋体" w:hAnsi="宋体" w:eastAsia="宋体" w:cs="宋体"/>
          <w:spacing w:val="7"/>
          <w:sz w:val="30"/>
          <w:szCs w:val="30"/>
          <w14:textOutline w14:w="5793"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本授权函</w:t>
      </w:r>
      <w:r>
        <w:rPr>
          <w:rFonts w:ascii="宋体" w:hAnsi="宋体" w:eastAsia="宋体" w:cs="宋体"/>
          <w:spacing w:val="7"/>
          <w:sz w:val="24"/>
          <w:szCs w:val="24"/>
        </w:rPr>
        <w:t>声</w:t>
      </w:r>
      <w:r>
        <w:rPr>
          <w:rFonts w:ascii="宋体" w:hAnsi="宋体" w:eastAsia="宋体" w:cs="宋体"/>
          <w:spacing w:val="4"/>
          <w:sz w:val="24"/>
          <w:szCs w:val="24"/>
        </w:rPr>
        <w:t>明：</w:t>
      </w:r>
      <w:r>
        <w:rPr>
          <w:rFonts w:ascii="宋体" w:hAnsi="宋体" w:eastAsia="宋体" w:cs="宋体"/>
          <w:spacing w:val="4"/>
          <w:sz w:val="24"/>
          <w:szCs w:val="24"/>
          <w:u w:val="single" w:color="auto"/>
        </w:rPr>
        <w:t xml:space="preserve">             (投标人全称)        </w:t>
      </w:r>
      <w:r>
        <w:rPr>
          <w:rFonts w:ascii="宋体" w:hAnsi="宋体" w:eastAsia="宋体" w:cs="宋体"/>
          <w:spacing w:val="4"/>
          <w:sz w:val="24"/>
          <w:szCs w:val="24"/>
        </w:rPr>
        <w:t xml:space="preserve"> 任命</w:t>
      </w:r>
      <w:r>
        <w:rPr>
          <w:rFonts w:ascii="宋体" w:hAnsi="宋体" w:eastAsia="宋体" w:cs="宋体"/>
          <w:spacing w:val="4"/>
          <w:sz w:val="24"/>
          <w:szCs w:val="24"/>
          <w:u w:val="single" w:color="auto"/>
        </w:rPr>
        <w:t xml:space="preserve">  (被授权人姓名、职务)</w:t>
      </w:r>
      <w:r>
        <w:rPr>
          <w:rFonts w:ascii="宋体" w:hAnsi="宋体" w:eastAsia="宋体" w:cs="宋体"/>
          <w:spacing w:val="10"/>
          <w:sz w:val="24"/>
          <w:szCs w:val="24"/>
        </w:rPr>
        <w:t>为我公</w:t>
      </w:r>
      <w:r>
        <w:rPr>
          <w:rFonts w:ascii="宋体" w:hAnsi="宋体" w:eastAsia="宋体" w:cs="宋体"/>
          <w:spacing w:val="7"/>
          <w:sz w:val="24"/>
          <w:szCs w:val="24"/>
        </w:rPr>
        <w:t>司</w:t>
      </w:r>
      <w:r>
        <w:rPr>
          <w:rFonts w:ascii="宋体" w:hAnsi="宋体" w:eastAsia="宋体" w:cs="宋体"/>
          <w:spacing w:val="5"/>
          <w:sz w:val="24"/>
          <w:szCs w:val="24"/>
        </w:rPr>
        <w:t>的授权代表人，参与“</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”的投标活动，以投标人的名义签署</w:t>
      </w:r>
      <w:r>
        <w:rPr>
          <w:rFonts w:ascii="宋体" w:hAnsi="宋体" w:eastAsia="宋体" w:cs="宋体"/>
          <w:sz w:val="24"/>
          <w:szCs w:val="24"/>
        </w:rPr>
        <w:t xml:space="preserve"> </w:t>
      </w:r>
      <w:r>
        <w:rPr>
          <w:rFonts w:ascii="宋体" w:hAnsi="宋体" w:eastAsia="宋体" w:cs="宋体"/>
          <w:spacing w:val="18"/>
          <w:sz w:val="24"/>
          <w:szCs w:val="24"/>
        </w:rPr>
        <w:t>磋</w:t>
      </w:r>
      <w:r>
        <w:rPr>
          <w:rFonts w:ascii="宋体" w:hAnsi="宋体" w:eastAsia="宋体" w:cs="宋体"/>
          <w:spacing w:val="14"/>
          <w:sz w:val="24"/>
          <w:szCs w:val="24"/>
        </w:rPr>
        <w:t>商</w:t>
      </w:r>
      <w:r>
        <w:rPr>
          <w:rFonts w:ascii="宋体" w:hAnsi="宋体" w:eastAsia="宋体" w:cs="宋体"/>
          <w:spacing w:val="9"/>
          <w:sz w:val="24"/>
          <w:szCs w:val="24"/>
        </w:rPr>
        <w:t>响应文件、进行合同洽谈、签署合同和全权处理与之有关的一切事务。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特</w:t>
      </w:r>
      <w:r>
        <w:rPr>
          <w:rFonts w:ascii="宋体" w:hAnsi="宋体" w:eastAsia="宋体" w:cs="宋体"/>
          <w:spacing w:val="8"/>
          <w:sz w:val="24"/>
          <w:szCs w:val="24"/>
        </w:rPr>
        <w:t>签字如下，以资证明。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pacing w:line="285" w:lineRule="auto"/>
        <w:rPr>
          <w:rFonts w:ascii="Arial"/>
          <w:sz w:val="21"/>
        </w:rPr>
      </w:pPr>
    </w:p>
    <w:p>
      <w:pPr>
        <w:spacing w:line="285" w:lineRule="auto"/>
        <w:rPr>
          <w:rFonts w:ascii="Arial"/>
          <w:sz w:val="21"/>
        </w:rPr>
      </w:pPr>
    </w:p>
    <w:p>
      <w:pPr>
        <w:spacing w:before="76" w:line="232" w:lineRule="auto"/>
        <w:ind w:left="428"/>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：后附法定代表人及被授权人身份证复印件正反面。</w:t>
      </w:r>
    </w:p>
    <w:p>
      <w:pPr>
        <w:sectPr>
          <w:footerReference r:id="rId20" w:type="default"/>
          <w:pgSz w:w="11905" w:h="16838"/>
          <w:pgMar w:top="1440" w:right="1803" w:bottom="1440" w:left="1803" w:header="0" w:footer="1134" w:gutter="0"/>
          <w:pgNumType w:fmt="decimal"/>
          <w:cols w:space="0" w:num="1"/>
          <w:rtlGutter w:val="0"/>
          <w:docGrid w:linePitch="0" w:charSpace="0"/>
        </w:sectPr>
      </w:pPr>
    </w:p>
    <w:p>
      <w:pPr>
        <w:spacing w:before="50" w:line="360" w:lineRule="auto"/>
        <w:ind w:left="36"/>
        <w:jc w:val="both"/>
        <w:outlineLvl w:val="9"/>
        <w:rPr>
          <w:rFonts w:ascii="Arial"/>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4：承诺函</w:t>
      </w:r>
    </w:p>
    <w:p>
      <w:pPr>
        <w:spacing w:before="100" w:line="360" w:lineRule="auto"/>
        <w:jc w:val="center"/>
        <w:rPr>
          <w:rFonts w:ascii="宋体" w:hAnsi="宋体" w:eastAsia="宋体" w:cs="宋体"/>
          <w:sz w:val="30"/>
          <w:szCs w:val="30"/>
        </w:rPr>
      </w:pPr>
      <w:r>
        <w:rPr>
          <w:rFonts w:ascii="宋体" w:hAnsi="宋体" w:eastAsia="宋体" w:cs="宋体"/>
          <w:spacing w:val="7"/>
          <w:sz w:val="30"/>
          <w:szCs w:val="30"/>
          <w14:textOutline w14:w="5793" w14:cap="sq" w14:cmpd="sng">
            <w14:solidFill>
              <w14:srgbClr w14:val="000000"/>
            </w14:solidFill>
            <w14:prstDash w14:val="solid"/>
            <w14:bevel/>
          </w14:textOutline>
        </w:rPr>
        <w:t>承</w:t>
      </w:r>
      <w:r>
        <w:rPr>
          <w:rFonts w:ascii="宋体" w:hAnsi="宋体" w:eastAsia="宋体" w:cs="宋体"/>
          <w:spacing w:val="6"/>
          <w:sz w:val="30"/>
          <w:szCs w:val="30"/>
          <w14:textOutline w14:w="5793" w14:cap="sq" w14:cmpd="sng">
            <w14:solidFill>
              <w14:srgbClr w14:val="000000"/>
            </w14:solidFill>
            <w14:prstDash w14:val="solid"/>
            <w14:bevel/>
          </w14:textOutline>
        </w:rPr>
        <w:t>诺函</w:t>
      </w:r>
    </w:p>
    <w:p>
      <w:pPr>
        <w:spacing w:line="36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rPr>
          <w:rFonts w:ascii="宋体" w:hAnsi="宋体" w:eastAsia="宋体" w:cs="宋体"/>
          <w:sz w:val="24"/>
          <w:szCs w:val="24"/>
        </w:rPr>
      </w:pPr>
      <w:r>
        <w:rPr>
          <w:rFonts w:ascii="宋体" w:hAnsi="宋体" w:eastAsia="宋体" w:cs="宋体"/>
          <w:spacing w:val="10"/>
          <w:sz w:val="24"/>
          <w:szCs w:val="24"/>
        </w:rPr>
        <w:t>我方参加</w:t>
      </w:r>
      <w:r>
        <w:rPr>
          <w:rFonts w:ascii="宋体" w:hAnsi="宋体" w:eastAsia="宋体" w:cs="宋体"/>
          <w:spacing w:val="7"/>
          <w:sz w:val="24"/>
          <w:szCs w:val="24"/>
        </w:rPr>
        <w:t>了</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(项目名称)</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合同段</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包段号</w:t>
      </w:r>
      <w:r>
        <w:rPr>
          <w:rFonts w:hint="eastAsia" w:ascii="宋体" w:hAnsi="宋体" w:eastAsia="宋体" w:cs="宋体"/>
          <w:spacing w:val="5"/>
          <w:sz w:val="24"/>
          <w:szCs w:val="24"/>
          <w:lang w:eastAsia="zh-CN"/>
        </w:rPr>
        <w:t>）</w:t>
      </w:r>
      <w:r>
        <w:rPr>
          <w:rFonts w:ascii="宋体" w:hAnsi="宋体" w:eastAsia="宋体" w:cs="宋体"/>
          <w:spacing w:val="5"/>
          <w:sz w:val="24"/>
          <w:szCs w:val="24"/>
        </w:rPr>
        <w:t>施工投标，若我方成交，我方在此</w:t>
      </w:r>
      <w:r>
        <w:rPr>
          <w:rFonts w:ascii="宋体" w:hAnsi="宋体" w:eastAsia="宋体" w:cs="宋体"/>
          <w:spacing w:val="4"/>
          <w:sz w:val="24"/>
          <w:szCs w:val="24"/>
        </w:rPr>
        <w:t>承</w:t>
      </w:r>
      <w:r>
        <w:rPr>
          <w:rFonts w:ascii="宋体" w:hAnsi="宋体" w:eastAsia="宋体" w:cs="宋体"/>
          <w:spacing w:val="3"/>
          <w:sz w:val="24"/>
          <w:szCs w:val="24"/>
        </w:rPr>
        <w:t>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本</w:t>
      </w:r>
      <w:r>
        <w:rPr>
          <w:rFonts w:ascii="宋体" w:hAnsi="宋体" w:eastAsia="宋体" w:cs="宋体"/>
          <w:spacing w:val="13"/>
          <w:sz w:val="24"/>
          <w:szCs w:val="24"/>
        </w:rPr>
        <w:t>项目磋商文件未要求我方在磋商响应文件中填报派驻本合同段的项目经理和项目总</w:t>
      </w:r>
      <w:r>
        <w:rPr>
          <w:rFonts w:ascii="宋体" w:hAnsi="宋体" w:eastAsia="宋体" w:cs="宋体"/>
          <w:spacing w:val="19"/>
          <w:sz w:val="24"/>
          <w:szCs w:val="24"/>
        </w:rPr>
        <w:t>工</w:t>
      </w:r>
      <w:r>
        <w:rPr>
          <w:rFonts w:ascii="宋体" w:hAnsi="宋体" w:eastAsia="宋体" w:cs="宋体"/>
          <w:spacing w:val="13"/>
          <w:sz w:val="24"/>
          <w:szCs w:val="24"/>
        </w:rPr>
        <w:t>及主要机械设备和试验检测设备，在采购人向我方发出成交通知书之前，我方将按照合同</w:t>
      </w:r>
      <w:r>
        <w:rPr>
          <w:rFonts w:ascii="宋体" w:hAnsi="宋体" w:eastAsia="宋体" w:cs="宋体"/>
          <w:spacing w:val="19"/>
          <w:sz w:val="24"/>
          <w:szCs w:val="24"/>
        </w:rPr>
        <w:t>附</w:t>
      </w:r>
      <w:r>
        <w:rPr>
          <w:rFonts w:ascii="宋体" w:hAnsi="宋体" w:eastAsia="宋体" w:cs="宋体"/>
          <w:spacing w:val="13"/>
          <w:sz w:val="24"/>
          <w:szCs w:val="24"/>
        </w:rPr>
        <w:t>件提出的最低要求填报派驻本合同段的项目经理和项目总工及主要机械设备和试验检测设</w:t>
      </w:r>
      <w:r>
        <w:rPr>
          <w:rFonts w:ascii="宋体" w:hAnsi="宋体" w:eastAsia="宋体" w:cs="宋体"/>
          <w:spacing w:val="18"/>
          <w:sz w:val="24"/>
          <w:szCs w:val="24"/>
        </w:rPr>
        <w:t>备</w:t>
      </w:r>
      <w:r>
        <w:rPr>
          <w:rFonts w:ascii="宋体" w:hAnsi="宋体" w:eastAsia="宋体" w:cs="宋体"/>
          <w:spacing w:val="17"/>
          <w:sz w:val="24"/>
          <w:szCs w:val="24"/>
        </w:rPr>
        <w:t>，</w:t>
      </w:r>
      <w:r>
        <w:rPr>
          <w:rFonts w:ascii="宋体" w:hAnsi="宋体" w:eastAsia="宋体" w:cs="宋体"/>
          <w:spacing w:val="9"/>
          <w:sz w:val="24"/>
          <w:szCs w:val="24"/>
        </w:rPr>
        <w:t>在经采购人审批后作为派驻本合同段的项目经理和项目总工及主要设备且不进行更换。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我</w:t>
      </w:r>
      <w:r>
        <w:rPr>
          <w:rFonts w:ascii="宋体" w:hAnsi="宋体" w:eastAsia="宋体" w:cs="宋体"/>
          <w:spacing w:val="13"/>
          <w:sz w:val="24"/>
          <w:szCs w:val="24"/>
        </w:rPr>
        <w:t>方已按本项目磋商文件要求在磋商响应文件中填报派驻本合同段的项目经理和项目</w:t>
      </w:r>
      <w:r>
        <w:rPr>
          <w:rFonts w:ascii="宋体" w:hAnsi="宋体" w:eastAsia="宋体" w:cs="宋体"/>
          <w:spacing w:val="18"/>
          <w:sz w:val="24"/>
          <w:szCs w:val="24"/>
        </w:rPr>
        <w:t>总</w:t>
      </w:r>
      <w:r>
        <w:rPr>
          <w:rFonts w:ascii="宋体" w:hAnsi="宋体" w:eastAsia="宋体" w:cs="宋体"/>
          <w:spacing w:val="13"/>
          <w:sz w:val="24"/>
          <w:szCs w:val="24"/>
        </w:rPr>
        <w:t>工及主要机械设备和试验检测设备，我方将严格按照在磋商响应文件中填报的项目经理和</w:t>
      </w:r>
      <w:r>
        <w:rPr>
          <w:rFonts w:ascii="宋体" w:hAnsi="宋体" w:eastAsia="宋体" w:cs="宋体"/>
          <w:spacing w:val="17"/>
          <w:sz w:val="24"/>
          <w:szCs w:val="24"/>
        </w:rPr>
        <w:t>项</w:t>
      </w:r>
      <w:r>
        <w:rPr>
          <w:rFonts w:ascii="宋体" w:hAnsi="宋体" w:eastAsia="宋体" w:cs="宋体"/>
          <w:spacing w:val="9"/>
          <w:sz w:val="24"/>
          <w:szCs w:val="24"/>
        </w:rPr>
        <w:t>目总工及主要机械设备和试验检测设备组织进场施工，且不进行更换。</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
    <w:p/>
    <w:p>
      <w:pPr>
        <w:spacing w:before="75" w:line="232" w:lineRule="auto"/>
        <w:ind w:left="488"/>
        <w:rPr>
          <w:rFonts w:hint="default" w:ascii="宋体" w:hAnsi="宋体" w:eastAsia="宋体" w:cs="宋体"/>
          <w:sz w:val="23"/>
          <w:szCs w:val="23"/>
          <w:lang w:val="en-US"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注：</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一个投标人投标多个包段的，承诺函分别填报。</w:t>
      </w:r>
    </w:p>
    <w:p>
      <w:pPr>
        <w:sectPr>
          <w:footerReference r:id="rId21" w:type="default"/>
          <w:pgSz w:w="11905" w:h="16838"/>
          <w:pgMar w:top="1440" w:right="1803" w:bottom="1440" w:left="1803" w:header="0" w:footer="1134" w:gutter="0"/>
          <w:pgNumType w:fmt="decimal"/>
          <w:cols w:space="0" w:num="1"/>
          <w:rtlGutter w:val="0"/>
          <w:docGrid w:linePitch="0" w:charSpace="0"/>
        </w:sectPr>
      </w:pPr>
    </w:p>
    <w:p>
      <w:pPr>
        <w:spacing w:before="101" w:line="224" w:lineRule="auto"/>
        <w:jc w:val="both"/>
        <w:outlineLvl w:val="9"/>
        <w:rPr>
          <w:rFonts w:hint="default" w:ascii="宋体" w:hAnsi="宋体" w:eastAsia="宋体" w:cs="宋体"/>
          <w:sz w:val="30"/>
          <w:szCs w:val="30"/>
          <w:lang w:val="en-US" w:eastAsia="zh-CN"/>
        </w:rPr>
      </w:pPr>
      <w:r>
        <w:rPr>
          <w:rFonts w:ascii="宋体" w:hAnsi="宋体" w:eastAsia="宋体" w:cs="宋体"/>
          <w:spacing w:val="-1"/>
          <w:sz w:val="30"/>
          <w:szCs w:val="30"/>
          <w14:textOutline w14:w="5793" w14:cap="sq" w14:cmpd="sng">
            <w14:solidFill>
              <w14:srgbClr w14:val="000000"/>
            </w14:solidFill>
            <w14:prstDash w14:val="solid"/>
            <w14:bevel/>
          </w14:textOutline>
        </w:rPr>
        <w:t>附件</w:t>
      </w:r>
      <w:r>
        <w:rPr>
          <w:rFonts w:ascii="宋体" w:hAnsi="宋体" w:eastAsia="宋体" w:cs="宋体"/>
          <w:spacing w:val="-1"/>
          <w:sz w:val="30"/>
          <w:szCs w:val="30"/>
        </w:rPr>
        <w:t xml:space="preserve"> </w:t>
      </w:r>
      <w:r>
        <w:rPr>
          <w:rFonts w:ascii="宋体" w:hAnsi="宋体" w:eastAsia="宋体" w:cs="宋体"/>
          <w:spacing w:val="-1"/>
          <w:sz w:val="30"/>
          <w:szCs w:val="30"/>
          <w14:textOutline w14:w="5793" w14:cap="sq" w14:cmpd="sng">
            <w14:solidFill>
              <w14:srgbClr w14:val="000000"/>
            </w14:solidFill>
            <w14:prstDash w14:val="solid"/>
            <w14:bevel/>
          </w14:textOutline>
        </w:rPr>
        <w:t>5：</w:t>
      </w:r>
      <w:r>
        <w:rPr>
          <w:rFonts w:hint="eastAsia" w:ascii="宋体" w:hAnsi="宋体" w:eastAsia="宋体" w:cs="宋体"/>
          <w:spacing w:val="-1"/>
          <w:sz w:val="30"/>
          <w:szCs w:val="30"/>
          <w:lang w:val="en-US" w:eastAsia="zh-CN"/>
          <w14:textOutline w14:w="5793" w14:cap="sq" w14:cmpd="sng">
            <w14:solidFill>
              <w14:srgbClr w14:val="000000"/>
            </w14:solidFill>
            <w14:prstDash w14:val="solid"/>
            <w14:bevel/>
          </w14:textOutline>
        </w:rPr>
        <w:t>技术方案</w:t>
      </w:r>
    </w:p>
    <w:p>
      <w:pPr>
        <w:spacing w:line="247" w:lineRule="auto"/>
        <w:rPr>
          <w:rFonts w:ascii="Arial"/>
          <w:sz w:val="21"/>
        </w:rPr>
      </w:pPr>
    </w:p>
    <w:p>
      <w:pPr>
        <w:spacing w:line="247" w:lineRule="auto"/>
        <w:rPr>
          <w:rFonts w:ascii="Arial"/>
          <w:sz w:val="21"/>
        </w:rPr>
      </w:pPr>
    </w:p>
    <w:p>
      <w:pPr>
        <w:sectPr>
          <w:headerReference r:id="rId22" w:type="default"/>
          <w:footerReference r:id="rId23" w:type="default"/>
          <w:pgSz w:w="11905" w:h="16838"/>
          <w:pgMar w:top="1440" w:right="1803" w:bottom="1440" w:left="1803" w:header="0" w:footer="1134" w:gutter="0"/>
          <w:pgNumType w:fmt="decimal"/>
          <w:cols w:space="0" w:num="1"/>
          <w:rtlGutter w:val="0"/>
          <w:docGrid w:linePitch="0" w:charSpace="0"/>
        </w:sectPr>
      </w:pPr>
    </w:p>
    <w:p>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6</w:t>
      </w:r>
      <w:r>
        <w:rPr>
          <w:rFonts w:ascii="宋体" w:hAnsi="宋体" w:eastAsia="宋体" w:cs="宋体"/>
          <w:b/>
          <w:bCs/>
          <w:spacing w:val="1"/>
          <w:sz w:val="30"/>
          <w:szCs w:val="30"/>
          <w14:textOutline w14:w="5793" w14:cap="sq" w14:cmpd="sng">
            <w14:solidFill>
              <w14:srgbClr w14:val="000000"/>
            </w14:solidFill>
            <w14:prstDash w14:val="solid"/>
            <w14:bevel/>
          </w14:textOutline>
        </w:rPr>
        <w:t>：公司业</w:t>
      </w:r>
      <w:r>
        <w:rPr>
          <w:rFonts w:ascii="宋体" w:hAnsi="宋体" w:eastAsia="宋体" w:cs="宋体"/>
          <w:b/>
          <w:bCs/>
          <w:sz w:val="30"/>
          <w:szCs w:val="30"/>
          <w14:textOutline w14:w="5793" w14:cap="sq" w14:cmpd="sng">
            <w14:solidFill>
              <w14:srgbClr w14:val="000000"/>
            </w14:solidFill>
            <w14:prstDash w14:val="solid"/>
            <w14:bevel/>
          </w14:textOutline>
        </w:rPr>
        <w:t>绩一览表</w:t>
      </w:r>
    </w:p>
    <w:p>
      <w:pPr>
        <w:spacing w:before="100" w:line="360" w:lineRule="auto"/>
        <w:jc w:val="center"/>
        <w:rPr>
          <w:rFonts w:ascii="宋体" w:hAnsi="宋体" w:eastAsia="宋体" w:cs="宋体"/>
          <w:sz w:val="30"/>
          <w:szCs w:val="30"/>
        </w:rPr>
      </w:pPr>
      <w:r>
        <w:rPr>
          <w:rFonts w:ascii="宋体" w:hAnsi="宋体" w:eastAsia="宋体" w:cs="宋体"/>
          <w:spacing w:val="11"/>
          <w:sz w:val="30"/>
          <w:szCs w:val="30"/>
          <w14:textOutline w14:w="5793" w14:cap="sq" w14:cmpd="sng">
            <w14:solidFill>
              <w14:srgbClr w14:val="000000"/>
            </w14:solidFill>
            <w14:prstDash w14:val="solid"/>
            <w14:bevel/>
          </w14:textOutline>
        </w:rPr>
        <w:t>公</w:t>
      </w:r>
      <w:r>
        <w:rPr>
          <w:rFonts w:ascii="宋体" w:hAnsi="宋体" w:eastAsia="宋体" w:cs="宋体"/>
          <w:spacing w:val="7"/>
          <w:sz w:val="30"/>
          <w:szCs w:val="30"/>
          <w14:textOutline w14:w="5793" w14:cap="sq" w14:cmpd="sng">
            <w14:solidFill>
              <w14:srgbClr w14:val="000000"/>
            </w14:solidFill>
            <w14:prstDash w14:val="solid"/>
            <w14:bevel/>
          </w14:textOutline>
        </w:rPr>
        <w:t>司业绩一览表</w:t>
      </w:r>
    </w:p>
    <w:p>
      <w:pPr>
        <w:spacing w:before="231" w:line="360" w:lineRule="auto"/>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5"/>
          <w:sz w:val="24"/>
          <w:szCs w:val="24"/>
        </w:rPr>
        <w:t>后附成交通知书及合同复印件)</w:t>
      </w:r>
    </w:p>
    <w:p>
      <w:pPr>
        <w:spacing w:line="360" w:lineRule="auto"/>
        <w:rPr>
          <w:sz w:val="24"/>
          <w:szCs w:val="24"/>
        </w:r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6"/>
        <w:gridCol w:w="1382"/>
        <w:gridCol w:w="1382"/>
        <w:gridCol w:w="1607"/>
        <w:gridCol w:w="1158"/>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4" w:type="pct"/>
            <w:vAlign w:val="center"/>
          </w:tcPr>
          <w:p>
            <w:pPr>
              <w:spacing w:before="184"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832"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832"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使</w:t>
            </w:r>
            <w:r>
              <w:rPr>
                <w:rFonts w:ascii="宋体" w:hAnsi="宋体" w:eastAsia="宋体" w:cs="宋体"/>
                <w:spacing w:val="7"/>
                <w:sz w:val="24"/>
                <w:szCs w:val="24"/>
              </w:rPr>
              <w:t>用单位</w:t>
            </w:r>
          </w:p>
        </w:tc>
        <w:tc>
          <w:tcPr>
            <w:tcW w:w="967"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9"/>
                <w:sz w:val="24"/>
                <w:szCs w:val="24"/>
              </w:rPr>
              <w:t>使</w:t>
            </w:r>
            <w:r>
              <w:rPr>
                <w:rFonts w:ascii="宋体" w:hAnsi="宋体" w:eastAsia="宋体" w:cs="宋体"/>
                <w:spacing w:val="8"/>
                <w:sz w:val="24"/>
                <w:szCs w:val="24"/>
              </w:rPr>
              <w:t>用单位电话</w:t>
            </w:r>
          </w:p>
        </w:tc>
        <w:tc>
          <w:tcPr>
            <w:tcW w:w="697"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合</w:t>
            </w:r>
            <w:r>
              <w:rPr>
                <w:rFonts w:ascii="宋体" w:hAnsi="宋体" w:eastAsia="宋体" w:cs="宋体"/>
                <w:spacing w:val="7"/>
                <w:sz w:val="24"/>
                <w:szCs w:val="24"/>
              </w:rPr>
              <w:t>同金额</w:t>
            </w:r>
          </w:p>
        </w:tc>
        <w:tc>
          <w:tcPr>
            <w:tcW w:w="835"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9"/>
                <w:sz w:val="24"/>
                <w:szCs w:val="24"/>
              </w:rPr>
              <w:t>签</w:t>
            </w:r>
            <w:r>
              <w:rPr>
                <w:rFonts w:ascii="宋体" w:hAnsi="宋体" w:eastAsia="宋体" w:cs="宋体"/>
                <w:spacing w:val="7"/>
                <w:sz w:val="24"/>
                <w:szCs w:val="24"/>
              </w:rPr>
              <w:t>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bl>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24" w:type="default"/>
          <w:pgSz w:w="11905" w:h="16838"/>
          <w:pgMar w:top="1440" w:right="1803" w:bottom="1440" w:left="1803" w:header="0" w:footer="1134" w:gutter="0"/>
          <w:pgNumType w:fmt="decimal"/>
          <w:cols w:space="0" w:num="1"/>
          <w:rtlGutter w:val="0"/>
          <w:docGrid w:linePitch="0" w:charSpace="0"/>
        </w:sectPr>
      </w:pPr>
    </w:p>
    <w:p>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7</w:t>
      </w:r>
      <w:r>
        <w:rPr>
          <w:rFonts w:ascii="宋体" w:hAnsi="宋体" w:eastAsia="宋体" w:cs="宋体"/>
          <w:b/>
          <w:bCs/>
          <w:sz w:val="30"/>
          <w:szCs w:val="30"/>
          <w14:textOutline w14:w="5793" w14:cap="sq" w14:cmpd="sng">
            <w14:solidFill>
              <w14:srgbClr w14:val="000000"/>
            </w14:solidFill>
            <w14:prstDash w14:val="solid"/>
            <w14:bevel/>
          </w14:textOutline>
        </w:rPr>
        <w:t>：售后服务承诺</w:t>
      </w:r>
    </w:p>
    <w:p>
      <w:pPr>
        <w:spacing w:before="101" w:line="360" w:lineRule="auto"/>
        <w:jc w:val="center"/>
        <w:outlineLvl w:val="9"/>
        <w:rPr>
          <w:rFonts w:ascii="宋体" w:hAnsi="宋体" w:eastAsia="宋体" w:cs="宋体"/>
          <w:sz w:val="30"/>
          <w:szCs w:val="30"/>
        </w:rPr>
      </w:pPr>
      <w:r>
        <w:rPr>
          <w:rFonts w:ascii="宋体" w:hAnsi="宋体" w:eastAsia="宋体" w:cs="宋体"/>
          <w:b/>
          <w:bCs/>
          <w:spacing w:val="12"/>
          <w:sz w:val="30"/>
          <w:szCs w:val="30"/>
          <w14:textOutline w14:w="5793" w14:cap="sq" w14:cmpd="sng">
            <w14:solidFill>
              <w14:srgbClr w14:val="000000"/>
            </w14:solidFill>
            <w14:prstDash w14:val="solid"/>
            <w14:bevel/>
          </w14:textOutline>
        </w:rPr>
        <w:t>售</w:t>
      </w:r>
      <w:r>
        <w:rPr>
          <w:rFonts w:ascii="宋体" w:hAnsi="宋体" w:eastAsia="宋体" w:cs="宋体"/>
          <w:b/>
          <w:bCs/>
          <w:spacing w:val="8"/>
          <w:sz w:val="30"/>
          <w:szCs w:val="30"/>
          <w14:textOutline w14:w="5793" w14:cap="sq" w14:cmpd="sng">
            <w14:solidFill>
              <w14:srgbClr w14:val="000000"/>
            </w14:solidFill>
            <w14:prstDash w14:val="solid"/>
            <w14:bevel/>
          </w14:textOutline>
        </w:rPr>
        <w:t>后服务承诺</w:t>
      </w:r>
    </w:p>
    <w:p/>
    <w:p/>
    <w:p>
      <w:pPr>
        <w:spacing w:line="122" w:lineRule="exact"/>
      </w:pP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5000" w:type="pct"/>
            <w:vAlign w:val="top"/>
          </w:tcPr>
          <w:p>
            <w:pPr>
              <w:spacing w:before="39" w:line="229" w:lineRule="auto"/>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乙</w:t>
            </w:r>
            <w:r>
              <w:rPr>
                <w:rFonts w:ascii="宋体" w:hAnsi="宋体" w:eastAsia="宋体" w:cs="宋体"/>
                <w:spacing w:val="7"/>
                <w:sz w:val="24"/>
                <w:szCs w:val="24"/>
                <w14:textOutline w14:w="4358" w14:cap="sq" w14:cmpd="sng">
                  <w14:solidFill>
                    <w14:srgbClr w14:val="000000"/>
                  </w14:solidFill>
                  <w14:prstDash w14:val="solid"/>
                  <w14:bevel/>
                </w14:textOutline>
              </w:rPr>
              <w:t>方</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(电话、地址、联系人)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5000" w:type="pct"/>
            <w:vAlign w:val="top"/>
          </w:tcPr>
          <w:p>
            <w:pPr>
              <w:spacing w:before="37" w:line="227"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现行售后服务的主要内容：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5000" w:type="pct"/>
            <w:vAlign w:val="top"/>
          </w:tcPr>
          <w:p>
            <w:pPr>
              <w:spacing w:before="38" w:line="227" w:lineRule="auto"/>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售后服务人员简历：</w:t>
            </w:r>
            <w:r>
              <w:rPr>
                <w:rFonts w:ascii="宋体" w:hAnsi="宋体" w:eastAsia="宋体" w:cs="宋体"/>
                <w:spacing w:val="5"/>
                <w:sz w:val="24"/>
                <w:szCs w:val="24"/>
              </w:rPr>
              <w:t xml:space="preserve">   (姓名、性别、年龄、专业、联系电话</w:t>
            </w:r>
            <w:r>
              <w:rPr>
                <w:rFonts w:ascii="宋体" w:hAnsi="宋体" w:eastAsia="宋体" w:cs="宋体"/>
                <w:spacing w:val="2"/>
                <w:sz w:val="24"/>
                <w:szCs w:val="24"/>
              </w:rPr>
              <w:t>)</w:t>
            </w:r>
          </w:p>
        </w:tc>
      </w:tr>
    </w:tbl>
    <w:p>
      <w:pPr>
        <w:spacing w:line="366"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6"/>
          <w:sz w:val="23"/>
          <w:szCs w:val="23"/>
        </w:rPr>
        <w:t>特此承诺！</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25" w:type="default"/>
          <w:pgSz w:w="11905" w:h="16838"/>
          <w:pgMar w:top="1440" w:right="1803" w:bottom="1440" w:left="1803" w:header="0" w:footer="1134" w:gutter="0"/>
          <w:pgNumType w:fmt="decimal"/>
          <w:cols w:space="0" w:num="1"/>
          <w:rtlGutter w:val="0"/>
          <w:docGrid w:linePitch="0" w:charSpace="0"/>
        </w:sectPr>
      </w:pPr>
    </w:p>
    <w:p>
      <w:pPr>
        <w:spacing w:before="100" w:line="224" w:lineRule="auto"/>
        <w:jc w:val="both"/>
        <w:outlineLvl w:val="9"/>
        <w:rPr>
          <w:rFonts w:ascii="宋体" w:hAnsi="宋体" w:eastAsia="宋体" w:cs="宋体"/>
          <w:b/>
          <w:bCs/>
          <w:sz w:val="30"/>
          <w:szCs w:val="30"/>
        </w:rPr>
      </w:pPr>
      <w:r>
        <w:rPr>
          <w:rFonts w:ascii="宋体" w:hAnsi="宋体" w:eastAsia="宋体" w:cs="宋体"/>
          <w:b/>
          <w:bCs/>
          <w:spacing w:val="9"/>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9"/>
          <w:sz w:val="30"/>
          <w:szCs w:val="30"/>
          <w:lang w:val="en-US" w:eastAsia="zh-CN"/>
        </w:rPr>
        <w:t>8</w:t>
      </w:r>
      <w:r>
        <w:rPr>
          <w:rFonts w:ascii="宋体" w:hAnsi="宋体" w:eastAsia="宋体" w:cs="宋体"/>
          <w:b/>
          <w:bCs/>
          <w:spacing w:val="9"/>
          <w:sz w:val="30"/>
          <w:szCs w:val="30"/>
          <w14:textOutline w14:w="5793" w14:cap="sq" w14:cmpd="sng">
            <w14:solidFill>
              <w14:srgbClr w14:val="000000"/>
            </w14:solidFill>
            <w14:prstDash w14:val="solid"/>
            <w14:bevel/>
          </w14:textOutline>
        </w:rPr>
        <w:t>：投标人认为有必要提交的其他相关证明材料</w:t>
      </w:r>
    </w:p>
    <w:p>
      <w:pPr>
        <w:spacing w:line="254" w:lineRule="auto"/>
        <w:jc w:val="center"/>
        <w:rPr>
          <w:rFonts w:ascii="Arial"/>
          <w:b/>
          <w:bCs/>
          <w:sz w:val="30"/>
          <w:szCs w:val="30"/>
        </w:rPr>
      </w:pPr>
    </w:p>
    <w:p>
      <w:pPr>
        <w:spacing w:before="75" w:line="227" w:lineRule="auto"/>
        <w:jc w:val="center"/>
        <w:outlineLvl w:val="9"/>
        <w:rPr>
          <w:rFonts w:ascii="宋体" w:hAnsi="宋体" w:eastAsia="宋体" w:cs="宋体"/>
          <w:b/>
          <w:bCs/>
          <w:sz w:val="30"/>
          <w:szCs w:val="30"/>
        </w:rPr>
      </w:pPr>
      <w:bookmarkStart w:id="218" w:name="_GoBack"/>
      <w:bookmarkEnd w:id="218"/>
    </w:p>
    <w:sectPr>
      <w:footerReference r:id="rId26" w:type="default"/>
      <w:pgSz w:w="11905" w:h="16838"/>
      <w:pgMar w:top="1440" w:right="1803" w:bottom="1440" w:left="1803"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粗圆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353"/>
      <w:rPr>
        <w:rFonts w:ascii="宋体" w:hAnsi="宋体" w:eastAsia="宋体" w:cs="宋体"/>
        <w:sz w:val="23"/>
        <w:szCs w:val="23"/>
      </w:rPr>
    </w:pPr>
    <w:r>
      <w:rPr>
        <w:rFonts w:ascii="宋体" w:hAnsi="宋体" w:eastAsia="宋体" w:cs="宋体"/>
        <w:spacing w:val="8"/>
        <w:sz w:val="23"/>
        <w:szCs w:val="23"/>
      </w:rPr>
      <w:t>二</w:t>
    </w:r>
    <w:r>
      <w:rPr>
        <w:rFonts w:ascii="宋体" w:hAnsi="宋体" w:eastAsia="宋体" w:cs="宋体"/>
        <w:spacing w:val="4"/>
        <w:sz w:val="23"/>
        <w:szCs w:val="23"/>
      </w:rPr>
      <w:t>〇二三年</w:t>
    </w:r>
    <w:r>
      <w:rPr>
        <w:rFonts w:hint="eastAsia" w:ascii="宋体" w:hAnsi="宋体" w:eastAsia="宋体" w:cs="宋体"/>
        <w:spacing w:val="4"/>
        <w:sz w:val="23"/>
        <w:szCs w:val="23"/>
        <w:lang w:val="en-US" w:eastAsia="zh-CN"/>
      </w:rPr>
      <w:t>十一</w:t>
    </w:r>
    <w:r>
      <w:rPr>
        <w:rFonts w:ascii="宋体" w:hAnsi="宋体" w:eastAsia="宋体" w:cs="宋体"/>
        <w:spacing w:val="4"/>
        <w:sz w:val="23"/>
        <w:szCs w:val="23"/>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Calibri" w:hAnsi="Calibri" w:eastAsia="Calibri" w:cs="Calibri"/>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hint="default" w:ascii="Calibri" w:hAnsi="Calibri" w:eastAsia="Calibri" w:cs="Calibri"/>
        <w:sz w:val="20"/>
        <w:szCs w:val="20"/>
        <w:lang w:val="en-US"/>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859"/>
      </w:tabs>
      <w:spacing w:line="186" w:lineRule="auto"/>
      <w:ind w:left="4736"/>
      <w:rPr>
        <w:rFonts w:ascii="Calibri" w:hAnsi="Calibri" w:eastAsia="Calibri" w:cs="Calibri"/>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ascii="Calibri" w:hAnsi="Calibri" w:eastAsia="宋体" w:cs="Calibri"/>
        <w:sz w:val="20"/>
        <w:szCs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30"/>
      <w:rPr>
        <w:rFonts w:ascii="Calibri" w:hAnsi="Calibri" w:eastAsia="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30"/>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bookmarkStart w:id="217" w:name="br1"/>
    <w:bookmarkEnd w:id="217"/>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end"/>
    </w:r>
  </w:p>
  <w:p>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p>
    <w:pPr>
      <w:pStyle w:val="13"/>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exact"/>
      <w:jc w:val="right"/>
      <w:rPr>
        <w:rFonts w:hint="eastAsia" w:ascii="华文行楷" w:hAnsi="华文行楷" w:eastAsia="华文行楷" w:cs="华文行楷"/>
        <w:spacing w:val="15"/>
        <w:sz w:val="20"/>
        <w:szCs w:val="20"/>
        <w:lang w:val="en-US" w:eastAsia="zh-CN"/>
      </w:rPr>
    </w:pPr>
  </w:p>
  <w:p>
    <w:pPr>
      <w:spacing w:line="264" w:lineRule="exact"/>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p>
    <w:pPr>
      <w:spacing w:line="264" w:lineRule="exact"/>
      <w:jc w:val="right"/>
      <w:rPr>
        <w:rFonts w:ascii="华文行楷" w:hAnsi="华文行楷" w:eastAsia="华文行楷" w:cs="华文行楷"/>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华文行楷" w:hAnsi="华文行楷" w:eastAsia="华文行楷" w:cs="华文行楷"/>
        <w:spacing w:val="15"/>
        <w:sz w:val="20"/>
        <w:szCs w:val="20"/>
        <w:lang w:val="en-US" w:eastAsia="zh-CN"/>
      </w:rPr>
    </w:pPr>
  </w:p>
  <w:p>
    <w:pPr>
      <w:pStyle w:val="13"/>
      <w:jc w:val="right"/>
      <w:rPr>
        <w:rFonts w:hint="eastAsia" w:ascii="华文行楷" w:hAnsi="华文行楷" w:eastAsia="华文行楷" w:cs="华文行楷"/>
        <w:spacing w:val="15"/>
        <w:sz w:val="20"/>
        <w:szCs w:val="20"/>
        <w:lang w:val="en-US" w:eastAsia="zh-CN"/>
      </w:rPr>
    </w:pPr>
  </w:p>
  <w:p>
    <w:pPr>
      <w:pStyle w:val="13"/>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p>
    <w:pPr>
      <w:pStyle w:val="1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left"/>
      <w:rPr>
        <w:rFonts w:hint="default" w:ascii="华文楷体" w:hAnsi="华文楷体" w:eastAsia="华文楷体" w:cs="华文楷体"/>
        <w:sz w:val="21"/>
        <w:szCs w:val="21"/>
        <w:u w:val="none"/>
        <w:lang w:val="en-US"/>
      </w:rPr>
    </w:pPr>
    <w:r>
      <w:rPr>
        <w:rFonts w:hint="eastAsia" w:ascii="宋体" w:hAnsi="宋体" w:eastAsia="宋体" w:cs="宋体"/>
        <w:spacing w:val="10"/>
        <w:sz w:val="21"/>
        <w:szCs w:val="21"/>
        <w:u w:val="none"/>
        <w:lang w:val="en-US" w:eastAsia="zh-CN"/>
      </w:rPr>
      <w:t>清真牛羊肉精深加工与清真预制菜加工项目-污水处理设备工程</w:t>
    </w:r>
  </w:p>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5AF90"/>
    <w:multiLevelType w:val="singleLevel"/>
    <w:tmpl w:val="B7C5AF90"/>
    <w:lvl w:ilvl="0" w:tentative="0">
      <w:start w:val="3"/>
      <w:numFmt w:val="chineseCounting"/>
      <w:suff w:val="space"/>
      <w:lvlText w:val="第%1章"/>
      <w:lvlJc w:val="left"/>
      <w:rPr>
        <w:rFonts w:hint="eastAsia"/>
      </w:rPr>
    </w:lvl>
  </w:abstractNum>
  <w:abstractNum w:abstractNumId="1">
    <w:nsid w:val="1197769C"/>
    <w:multiLevelType w:val="multilevel"/>
    <w:tmpl w:val="1197769C"/>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3A34EA5"/>
    <w:multiLevelType w:val="singleLevel"/>
    <w:tmpl w:val="13A34EA5"/>
    <w:lvl w:ilvl="0" w:tentative="0">
      <w:start w:val="2"/>
      <w:numFmt w:val="decimal"/>
      <w:suff w:val="nothing"/>
      <w:lvlText w:val="%1、"/>
      <w:lvlJc w:val="left"/>
    </w:lvl>
  </w:abstractNum>
  <w:abstractNum w:abstractNumId="3">
    <w:nsid w:val="2F000006"/>
    <w:multiLevelType w:val="multilevel"/>
    <w:tmpl w:val="2F0000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JjZjJiMGI4MDUwMzk3N2Q4NmUxNTA0Y2MzNjUxMmEifQ=="/>
  </w:docVars>
  <w:rsids>
    <w:rsidRoot w:val="00000000"/>
    <w:rsid w:val="01560A8F"/>
    <w:rsid w:val="015974C0"/>
    <w:rsid w:val="019208EF"/>
    <w:rsid w:val="01BF4029"/>
    <w:rsid w:val="01D628BE"/>
    <w:rsid w:val="01E244FC"/>
    <w:rsid w:val="01EC7689"/>
    <w:rsid w:val="02317FA4"/>
    <w:rsid w:val="023C3349"/>
    <w:rsid w:val="028C7310"/>
    <w:rsid w:val="0341645D"/>
    <w:rsid w:val="03722553"/>
    <w:rsid w:val="037E320E"/>
    <w:rsid w:val="044E0E32"/>
    <w:rsid w:val="047A697D"/>
    <w:rsid w:val="05D963ED"/>
    <w:rsid w:val="06090798"/>
    <w:rsid w:val="06C453DB"/>
    <w:rsid w:val="06FC60F0"/>
    <w:rsid w:val="079D410C"/>
    <w:rsid w:val="08585DDB"/>
    <w:rsid w:val="08852948"/>
    <w:rsid w:val="08D31906"/>
    <w:rsid w:val="08F94E10"/>
    <w:rsid w:val="097320EC"/>
    <w:rsid w:val="09F70030"/>
    <w:rsid w:val="0A081A83"/>
    <w:rsid w:val="0A395223"/>
    <w:rsid w:val="0A7C5D84"/>
    <w:rsid w:val="0ACE1458"/>
    <w:rsid w:val="0AE95411"/>
    <w:rsid w:val="0BB900D8"/>
    <w:rsid w:val="0BDF05C2"/>
    <w:rsid w:val="0BFF5331"/>
    <w:rsid w:val="0C2D3A23"/>
    <w:rsid w:val="0D020A0B"/>
    <w:rsid w:val="0E1A1D85"/>
    <w:rsid w:val="0E5B3412"/>
    <w:rsid w:val="0ED4568F"/>
    <w:rsid w:val="0F2654A4"/>
    <w:rsid w:val="0F6E1045"/>
    <w:rsid w:val="0FBA0991"/>
    <w:rsid w:val="104C2EEF"/>
    <w:rsid w:val="10637A13"/>
    <w:rsid w:val="10662E7E"/>
    <w:rsid w:val="108D2CE2"/>
    <w:rsid w:val="111C65E6"/>
    <w:rsid w:val="11407D54"/>
    <w:rsid w:val="117F6ACF"/>
    <w:rsid w:val="12614426"/>
    <w:rsid w:val="13F11C23"/>
    <w:rsid w:val="14014E3B"/>
    <w:rsid w:val="1424395D"/>
    <w:rsid w:val="157C2354"/>
    <w:rsid w:val="15BF56EC"/>
    <w:rsid w:val="15D31197"/>
    <w:rsid w:val="16824D24"/>
    <w:rsid w:val="168E3310"/>
    <w:rsid w:val="16B15AA0"/>
    <w:rsid w:val="16ED0036"/>
    <w:rsid w:val="17263548"/>
    <w:rsid w:val="17490B03"/>
    <w:rsid w:val="17A6689B"/>
    <w:rsid w:val="17AF79E2"/>
    <w:rsid w:val="17B16F4C"/>
    <w:rsid w:val="18291542"/>
    <w:rsid w:val="182C2DE0"/>
    <w:rsid w:val="18397637"/>
    <w:rsid w:val="19055008"/>
    <w:rsid w:val="191B532F"/>
    <w:rsid w:val="19924EC5"/>
    <w:rsid w:val="1ACC5BC8"/>
    <w:rsid w:val="1AED01DD"/>
    <w:rsid w:val="1B557F90"/>
    <w:rsid w:val="1B811695"/>
    <w:rsid w:val="1B9C64CF"/>
    <w:rsid w:val="1C3B7A96"/>
    <w:rsid w:val="1C9B204E"/>
    <w:rsid w:val="1DEF0B38"/>
    <w:rsid w:val="1E1451D4"/>
    <w:rsid w:val="1E1B36DB"/>
    <w:rsid w:val="1E3A63E9"/>
    <w:rsid w:val="1E5906A7"/>
    <w:rsid w:val="1F4E5D32"/>
    <w:rsid w:val="1F5F584A"/>
    <w:rsid w:val="1FC009DE"/>
    <w:rsid w:val="1FC35D9E"/>
    <w:rsid w:val="20224785"/>
    <w:rsid w:val="207E27AC"/>
    <w:rsid w:val="20D109C9"/>
    <w:rsid w:val="20D83B05"/>
    <w:rsid w:val="2154591E"/>
    <w:rsid w:val="22035366"/>
    <w:rsid w:val="224F429B"/>
    <w:rsid w:val="22625D7D"/>
    <w:rsid w:val="22C75BE0"/>
    <w:rsid w:val="24DC4B11"/>
    <w:rsid w:val="254D2812"/>
    <w:rsid w:val="25545725"/>
    <w:rsid w:val="259B48D9"/>
    <w:rsid w:val="26031625"/>
    <w:rsid w:val="264834DB"/>
    <w:rsid w:val="27070CA1"/>
    <w:rsid w:val="278A7C2A"/>
    <w:rsid w:val="28500425"/>
    <w:rsid w:val="286C17F1"/>
    <w:rsid w:val="287F5F8E"/>
    <w:rsid w:val="28AF5E5C"/>
    <w:rsid w:val="29001E4B"/>
    <w:rsid w:val="291E7127"/>
    <w:rsid w:val="294206B6"/>
    <w:rsid w:val="298E7457"/>
    <w:rsid w:val="2A463335"/>
    <w:rsid w:val="2A8C5186"/>
    <w:rsid w:val="2AD6555A"/>
    <w:rsid w:val="2B7B3A0B"/>
    <w:rsid w:val="2B8C79C6"/>
    <w:rsid w:val="2BA37B27"/>
    <w:rsid w:val="2BF4589E"/>
    <w:rsid w:val="2C1F79BA"/>
    <w:rsid w:val="2C22657D"/>
    <w:rsid w:val="2C317119"/>
    <w:rsid w:val="2C330000"/>
    <w:rsid w:val="2C3342E6"/>
    <w:rsid w:val="2C7C765C"/>
    <w:rsid w:val="2CA23219"/>
    <w:rsid w:val="2D932CD3"/>
    <w:rsid w:val="2D974916"/>
    <w:rsid w:val="2DFB239F"/>
    <w:rsid w:val="300025D7"/>
    <w:rsid w:val="308B2F98"/>
    <w:rsid w:val="310D6670"/>
    <w:rsid w:val="314A69CD"/>
    <w:rsid w:val="31A45772"/>
    <w:rsid w:val="31CA3068"/>
    <w:rsid w:val="32195D2C"/>
    <w:rsid w:val="32917FB8"/>
    <w:rsid w:val="33354DE7"/>
    <w:rsid w:val="33FB7DDF"/>
    <w:rsid w:val="342235BE"/>
    <w:rsid w:val="346A6D13"/>
    <w:rsid w:val="35481835"/>
    <w:rsid w:val="35F25212"/>
    <w:rsid w:val="36154372"/>
    <w:rsid w:val="366D4898"/>
    <w:rsid w:val="36D52B69"/>
    <w:rsid w:val="37294C63"/>
    <w:rsid w:val="37683CDD"/>
    <w:rsid w:val="37A60062"/>
    <w:rsid w:val="385657CC"/>
    <w:rsid w:val="392751D2"/>
    <w:rsid w:val="39F350B4"/>
    <w:rsid w:val="3A5D6CA3"/>
    <w:rsid w:val="3AB605BC"/>
    <w:rsid w:val="3AF27C7A"/>
    <w:rsid w:val="3B0B7F6D"/>
    <w:rsid w:val="3B163750"/>
    <w:rsid w:val="3BDB4DBD"/>
    <w:rsid w:val="3C207746"/>
    <w:rsid w:val="3C50382B"/>
    <w:rsid w:val="3C9B3F0D"/>
    <w:rsid w:val="3C9C5ED7"/>
    <w:rsid w:val="3CBE6B95"/>
    <w:rsid w:val="3CCB0CB7"/>
    <w:rsid w:val="3CDC1016"/>
    <w:rsid w:val="3D4F5EBD"/>
    <w:rsid w:val="3D6C3AFB"/>
    <w:rsid w:val="3DEB0EC4"/>
    <w:rsid w:val="3E3208A1"/>
    <w:rsid w:val="3E495BEB"/>
    <w:rsid w:val="3E497999"/>
    <w:rsid w:val="3E772191"/>
    <w:rsid w:val="3EBC460F"/>
    <w:rsid w:val="4003196D"/>
    <w:rsid w:val="40A610D2"/>
    <w:rsid w:val="41B63597"/>
    <w:rsid w:val="420E731C"/>
    <w:rsid w:val="4217586B"/>
    <w:rsid w:val="431247FD"/>
    <w:rsid w:val="431554BF"/>
    <w:rsid w:val="43F2107B"/>
    <w:rsid w:val="4405584B"/>
    <w:rsid w:val="449A2CFC"/>
    <w:rsid w:val="450D1720"/>
    <w:rsid w:val="4575196F"/>
    <w:rsid w:val="457634AD"/>
    <w:rsid w:val="463902F3"/>
    <w:rsid w:val="46C70E1C"/>
    <w:rsid w:val="46FE04CC"/>
    <w:rsid w:val="477F442B"/>
    <w:rsid w:val="47AD71EA"/>
    <w:rsid w:val="48585198"/>
    <w:rsid w:val="487877F8"/>
    <w:rsid w:val="48AD6596"/>
    <w:rsid w:val="492D05E3"/>
    <w:rsid w:val="4A477482"/>
    <w:rsid w:val="4B6C4CC7"/>
    <w:rsid w:val="4C03562B"/>
    <w:rsid w:val="4C96024D"/>
    <w:rsid w:val="4CD80866"/>
    <w:rsid w:val="4EBC1A2B"/>
    <w:rsid w:val="4F420B2C"/>
    <w:rsid w:val="50D70E34"/>
    <w:rsid w:val="510936E3"/>
    <w:rsid w:val="519812A3"/>
    <w:rsid w:val="51997CDE"/>
    <w:rsid w:val="51BD002A"/>
    <w:rsid w:val="522B4F1F"/>
    <w:rsid w:val="528D6324"/>
    <w:rsid w:val="52D82E88"/>
    <w:rsid w:val="52FF05D6"/>
    <w:rsid w:val="53BD07B5"/>
    <w:rsid w:val="53C2401E"/>
    <w:rsid w:val="53CA3915"/>
    <w:rsid w:val="54C47921"/>
    <w:rsid w:val="55B12D18"/>
    <w:rsid w:val="56E524FD"/>
    <w:rsid w:val="57160223"/>
    <w:rsid w:val="57A14B99"/>
    <w:rsid w:val="57D92987"/>
    <w:rsid w:val="581D2CAE"/>
    <w:rsid w:val="58464EF3"/>
    <w:rsid w:val="584D302C"/>
    <w:rsid w:val="5887504C"/>
    <w:rsid w:val="591E1CF6"/>
    <w:rsid w:val="592941F7"/>
    <w:rsid w:val="59B61F2F"/>
    <w:rsid w:val="59D31336"/>
    <w:rsid w:val="5A212E99"/>
    <w:rsid w:val="5A961D3F"/>
    <w:rsid w:val="5AA1425D"/>
    <w:rsid w:val="5BEC1C38"/>
    <w:rsid w:val="5BEF797A"/>
    <w:rsid w:val="5C6739B4"/>
    <w:rsid w:val="5C6E089F"/>
    <w:rsid w:val="5D6C3027"/>
    <w:rsid w:val="5E5F6487"/>
    <w:rsid w:val="5ED93C3B"/>
    <w:rsid w:val="5EE017FC"/>
    <w:rsid w:val="5F313E05"/>
    <w:rsid w:val="5F4853E6"/>
    <w:rsid w:val="5F4973A1"/>
    <w:rsid w:val="5F575A7D"/>
    <w:rsid w:val="5FBA66C9"/>
    <w:rsid w:val="5FD20BB6"/>
    <w:rsid w:val="5FD4310E"/>
    <w:rsid w:val="5FDD6DAE"/>
    <w:rsid w:val="60F3411E"/>
    <w:rsid w:val="61B55E59"/>
    <w:rsid w:val="61C11051"/>
    <w:rsid w:val="61FB25FB"/>
    <w:rsid w:val="62562501"/>
    <w:rsid w:val="626F35C2"/>
    <w:rsid w:val="627B1F67"/>
    <w:rsid w:val="63870498"/>
    <w:rsid w:val="63D95197"/>
    <w:rsid w:val="64430278"/>
    <w:rsid w:val="64550537"/>
    <w:rsid w:val="646C0F35"/>
    <w:rsid w:val="649E3CEB"/>
    <w:rsid w:val="64B969C5"/>
    <w:rsid w:val="64C25251"/>
    <w:rsid w:val="6533183C"/>
    <w:rsid w:val="655D3BA6"/>
    <w:rsid w:val="65FA23B2"/>
    <w:rsid w:val="66FC5CEB"/>
    <w:rsid w:val="672A7AB8"/>
    <w:rsid w:val="67487934"/>
    <w:rsid w:val="678A7AE2"/>
    <w:rsid w:val="67C921BC"/>
    <w:rsid w:val="67CE0BF6"/>
    <w:rsid w:val="67E87224"/>
    <w:rsid w:val="67FB3202"/>
    <w:rsid w:val="686D2352"/>
    <w:rsid w:val="68A1311C"/>
    <w:rsid w:val="68CB45FA"/>
    <w:rsid w:val="69D02B99"/>
    <w:rsid w:val="6A067E66"/>
    <w:rsid w:val="6A3E79A7"/>
    <w:rsid w:val="6A726E0D"/>
    <w:rsid w:val="6ADE4576"/>
    <w:rsid w:val="6B6A7665"/>
    <w:rsid w:val="6B857758"/>
    <w:rsid w:val="6B9E7E72"/>
    <w:rsid w:val="6BBC6DD7"/>
    <w:rsid w:val="6C1B20C5"/>
    <w:rsid w:val="6C431564"/>
    <w:rsid w:val="6CB322FE"/>
    <w:rsid w:val="6CBF5146"/>
    <w:rsid w:val="6CC074A0"/>
    <w:rsid w:val="6D056FFD"/>
    <w:rsid w:val="6D59374C"/>
    <w:rsid w:val="6E127503"/>
    <w:rsid w:val="6E510341"/>
    <w:rsid w:val="6F257654"/>
    <w:rsid w:val="6F40256E"/>
    <w:rsid w:val="6FF2313D"/>
    <w:rsid w:val="71716B9F"/>
    <w:rsid w:val="71EE2817"/>
    <w:rsid w:val="725400DF"/>
    <w:rsid w:val="72F864A0"/>
    <w:rsid w:val="733210C6"/>
    <w:rsid w:val="73DF13FA"/>
    <w:rsid w:val="74713C5C"/>
    <w:rsid w:val="75630D65"/>
    <w:rsid w:val="759A5B79"/>
    <w:rsid w:val="760B6D06"/>
    <w:rsid w:val="763D362D"/>
    <w:rsid w:val="76B64EC4"/>
    <w:rsid w:val="76CF41D8"/>
    <w:rsid w:val="7701722B"/>
    <w:rsid w:val="77050A54"/>
    <w:rsid w:val="77530965"/>
    <w:rsid w:val="77731007"/>
    <w:rsid w:val="777A2DC5"/>
    <w:rsid w:val="77CA6CDD"/>
    <w:rsid w:val="77FB78AA"/>
    <w:rsid w:val="78B813C8"/>
    <w:rsid w:val="78BB4A14"/>
    <w:rsid w:val="78FD502C"/>
    <w:rsid w:val="790243F1"/>
    <w:rsid w:val="799A775C"/>
    <w:rsid w:val="79B34DA0"/>
    <w:rsid w:val="79B847EB"/>
    <w:rsid w:val="7B4A66BC"/>
    <w:rsid w:val="7B89704B"/>
    <w:rsid w:val="7C4E5B9F"/>
    <w:rsid w:val="7CA321A7"/>
    <w:rsid w:val="7CC7512A"/>
    <w:rsid w:val="7D8C4BD1"/>
    <w:rsid w:val="7D903B95"/>
    <w:rsid w:val="7D9F2B56"/>
    <w:rsid w:val="7DA71A0B"/>
    <w:rsid w:val="7E382316"/>
    <w:rsid w:val="7E8D57C6"/>
    <w:rsid w:val="7F587460"/>
    <w:rsid w:val="7FA73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ind w:firstLine="1446"/>
      <w:textAlignment w:val="baseline"/>
    </w:pPr>
    <w:rPr>
      <w:rFonts w:ascii="Times New Roman" w:hAnsi="Times New Roman"/>
      <w:spacing w:val="-2"/>
      <w:kern w:val="0"/>
      <w:sz w:val="24"/>
      <w:szCs w:val="20"/>
    </w:rPr>
  </w:style>
  <w:style w:type="paragraph" w:styleId="6">
    <w:name w:val="Normal Indent"/>
    <w:basedOn w:val="1"/>
    <w:qFormat/>
    <w:uiPriority w:val="0"/>
    <w:pPr>
      <w:spacing w:line="360" w:lineRule="auto"/>
      <w:ind w:firstLine="420" w:firstLineChars="200"/>
    </w:pPr>
    <w:rPr>
      <w:rFonts w:ascii="宋体" w:hAnsi="Calibri"/>
      <w:sz w:val="24"/>
    </w:rPr>
  </w:style>
  <w:style w:type="paragraph" w:styleId="7">
    <w:name w:val="Body Text"/>
    <w:basedOn w:val="1"/>
    <w:next w:val="8"/>
    <w:qFormat/>
    <w:uiPriority w:val="0"/>
    <w:pPr>
      <w:widowControl/>
      <w:spacing w:after="120"/>
      <w:jc w:val="left"/>
    </w:pPr>
    <w:rPr>
      <w:rFonts w:ascii="Times New Roman" w:hAnsi="Times New Roman" w:eastAsia="宋体" w:cs="Times New Roman"/>
      <w:kern w:val="0"/>
      <w:sz w:val="20"/>
    </w:rPr>
  </w:style>
  <w:style w:type="paragraph" w:styleId="8">
    <w:name w:val="Body Text 2"/>
    <w:basedOn w:val="1"/>
    <w:next w:val="7"/>
    <w:qFormat/>
    <w:uiPriority w:val="0"/>
    <w:pPr>
      <w:widowControl/>
      <w:spacing w:after="120" w:line="480" w:lineRule="auto"/>
      <w:jc w:val="left"/>
    </w:pPr>
    <w:rPr>
      <w:rFonts w:ascii="Times New Roman" w:hAnsi="Times New Roman" w:eastAsia="宋体" w:cs="Times New Roman"/>
      <w:kern w:val="0"/>
      <w:sz w:val="20"/>
      <w:szCs w:val="20"/>
    </w:rPr>
  </w:style>
  <w:style w:type="paragraph" w:styleId="9">
    <w:name w:val="Body Text Indent"/>
    <w:basedOn w:val="1"/>
    <w:next w:val="10"/>
    <w:qFormat/>
    <w:uiPriority w:val="0"/>
    <w:pPr>
      <w:widowControl/>
      <w:spacing w:after="120"/>
      <w:ind w:left="420" w:leftChars="200"/>
      <w:jc w:val="left"/>
    </w:pPr>
    <w:rPr>
      <w:rFonts w:ascii="Times New Roman" w:hAnsi="Times New Roman" w:eastAsia="宋体" w:cs="Times New Roman"/>
      <w:kern w:val="0"/>
      <w:sz w:val="20"/>
    </w:r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99"/>
    <w:pPr>
      <w:widowControl/>
      <w:jc w:val="left"/>
    </w:pPr>
    <w:rPr>
      <w:rFonts w:ascii="宋体" w:hAnsi="Courier New" w:eastAsia="宋体" w:cs="Times New Roman"/>
      <w:kern w:val="0"/>
      <w:sz w:val="2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Normal (Web)"/>
    <w:basedOn w:val="1"/>
    <w:qFormat/>
    <w:uiPriority w:val="99"/>
    <w:pPr>
      <w:spacing w:before="100" w:beforeAutospacing="1" w:after="100" w:afterAutospacing="1"/>
    </w:pPr>
  </w:style>
  <w:style w:type="paragraph" w:styleId="16">
    <w:name w:val="Body Text First Indent"/>
    <w:basedOn w:val="7"/>
    <w:next w:val="17"/>
    <w:unhideWhenUsed/>
    <w:qFormat/>
    <w:uiPriority w:val="99"/>
    <w:pPr>
      <w:ind w:firstLine="420" w:firstLineChars="100"/>
    </w:pPr>
  </w:style>
  <w:style w:type="paragraph" w:styleId="17">
    <w:name w:val="Body Text First Indent 2"/>
    <w:basedOn w:val="9"/>
    <w:qFormat/>
    <w:uiPriority w:val="0"/>
    <w:pPr>
      <w:spacing w:after="0"/>
      <w:ind w:firstLine="420"/>
    </w:pPr>
  </w:style>
  <w:style w:type="character" w:styleId="20">
    <w:name w:val="page number"/>
    <w:basedOn w:val="19"/>
    <w:qFormat/>
    <w:uiPriority w:val="0"/>
  </w:style>
  <w:style w:type="character" w:styleId="21">
    <w:name w:val="Emphasis"/>
    <w:qFormat/>
    <w:uiPriority w:val="0"/>
    <w:rPr>
      <w:b/>
      <w:i/>
      <w:iCs/>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character" w:customStyle="1" w:styleId="26">
    <w:name w:val="font11"/>
    <w:basedOn w:val="19"/>
    <w:qFormat/>
    <w:uiPriority w:val="0"/>
    <w:rPr>
      <w:rFonts w:hint="eastAsia" w:ascii="宋体" w:hAnsi="宋体" w:eastAsia="宋体" w:cs="宋体"/>
      <w:color w:val="000000"/>
      <w:sz w:val="24"/>
      <w:szCs w:val="24"/>
      <w:u w:val="none"/>
    </w:rPr>
  </w:style>
  <w:style w:type="character" w:customStyle="1" w:styleId="27">
    <w:name w:val="font31"/>
    <w:basedOn w:val="19"/>
    <w:qFormat/>
    <w:uiPriority w:val="0"/>
    <w:rPr>
      <w:rFonts w:hint="eastAsia" w:ascii="宋体" w:hAnsi="宋体" w:eastAsia="宋体" w:cs="宋体"/>
      <w:color w:val="000000"/>
      <w:sz w:val="23"/>
      <w:szCs w:val="23"/>
      <w:u w:val="none"/>
    </w:rPr>
  </w:style>
  <w:style w:type="character" w:customStyle="1" w:styleId="28">
    <w:name w:val="_Style 6"/>
    <w:qFormat/>
    <w:uiPriority w:val="21"/>
    <w:rPr>
      <w:b/>
      <w:bCs/>
      <w:i/>
      <w:iCs/>
      <w:color w:val="auto"/>
    </w:rPr>
  </w:style>
  <w:style w:type="paragraph" w:styleId="29">
    <w:name w:val="Quote"/>
    <w:basedOn w:val="1"/>
    <w:next w:val="1"/>
    <w:qFormat/>
    <w:uiPriority w:val="29"/>
    <w:rPr>
      <w:i/>
      <w:iCs/>
      <w:color w:val="000000"/>
    </w:rPr>
  </w:style>
  <w:style w:type="character" w:customStyle="1" w:styleId="30">
    <w:name w:val="b"/>
    <w:qFormat/>
    <w:uiPriority w:val="0"/>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32">
    <w:name w:val="标题 1 Char"/>
    <w:link w:val="3"/>
    <w:qFormat/>
    <w:uiPriority w:val="0"/>
    <w:rPr>
      <w:b/>
      <w:bCs/>
      <w:kern w:val="44"/>
      <w:sz w:val="44"/>
      <w:szCs w:val="44"/>
    </w:rPr>
  </w:style>
  <w:style w:type="character" w:customStyle="1" w:styleId="33">
    <w:name w:val="font21"/>
    <w:basedOn w:val="19"/>
    <w:qFormat/>
    <w:uiPriority w:val="0"/>
    <w:rPr>
      <w:rFonts w:hint="eastAsia" w:ascii="宋体" w:hAnsi="宋体" w:eastAsia="宋体" w:cs="宋体"/>
      <w:color w:val="000000"/>
      <w:sz w:val="22"/>
      <w:szCs w:val="22"/>
      <w:u w:val="none"/>
    </w:rPr>
  </w:style>
  <w:style w:type="character" w:customStyle="1" w:styleId="34">
    <w:name w:val="font4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24842</Words>
  <Characters>27333</Characters>
  <TotalTime>1</TotalTime>
  <ScaleCrop>false</ScaleCrop>
  <LinksUpToDate>false</LinksUpToDate>
  <CharactersWithSpaces>28845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2023-03-19T16:14:00Z</dcterms:created>
  <dc:creator>Administrator</dc:creator>
  <cp:lastModifiedBy>毛丽娜</cp:lastModifiedBy>
  <dcterms:modified xsi:type="dcterms:W3CDTF">2023-12-06T06:24:30Z</dcterms:modified>
  <dc:title>玛曲县国有产业扶贫开发有限责任公司牦牛生鲜乳冷链物流项目EPC总承包设备采购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2023-03-21T16:08:34Z</vt:filetime>
  </property>
  <property fmtid="{D5CDD505-2E9C-101B-9397-08002B2CF9AE}" pid="4" name="KSOProductBuildVer">
    <vt:lpwstr>2052-12.1.0.15990</vt:lpwstr>
  </property>
  <property fmtid="{D5CDD505-2E9C-101B-9397-08002B2CF9AE}" pid="5" name="ICV">
    <vt:lpwstr>7C8F0847F3544DA194768D168A5085F5_13</vt:lpwstr>
  </property>
</Properties>
</file>